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DC" w:rsidRPr="00BA3DA5" w:rsidRDefault="001469A0" w:rsidP="00E80D50">
      <w:pPr>
        <w:pStyle w:val="Title"/>
        <w:jc w:val="center"/>
        <w:rPr>
          <w:sz w:val="40"/>
          <w:szCs w:val="40"/>
        </w:rPr>
      </w:pPr>
      <w:r>
        <w:rPr>
          <w:sz w:val="40"/>
          <w:szCs w:val="40"/>
        </w:rPr>
        <w:t>Course Report on “</w:t>
      </w:r>
      <w:r w:rsidR="00625DEE" w:rsidRPr="00BA3DA5">
        <w:rPr>
          <w:sz w:val="40"/>
          <w:szCs w:val="40"/>
        </w:rPr>
        <w:t>Policy and regulation</w:t>
      </w:r>
      <w:r w:rsidR="005B1156" w:rsidRPr="00BA3DA5">
        <w:rPr>
          <w:sz w:val="40"/>
          <w:szCs w:val="40"/>
        </w:rPr>
        <w:t xml:space="preserve"> conducive to</w:t>
      </w:r>
      <w:r w:rsidR="00625DEE" w:rsidRPr="00BA3DA5">
        <w:rPr>
          <w:sz w:val="40"/>
          <w:szCs w:val="40"/>
        </w:rPr>
        <w:t xml:space="preserve"> rapid ICT</w:t>
      </w:r>
      <w:r w:rsidR="00C877A9" w:rsidRPr="00BA3DA5">
        <w:rPr>
          <w:sz w:val="40"/>
          <w:szCs w:val="40"/>
        </w:rPr>
        <w:t xml:space="preserve"> sector</w:t>
      </w:r>
      <w:r w:rsidR="00625DEE" w:rsidRPr="00BA3DA5">
        <w:rPr>
          <w:sz w:val="40"/>
          <w:szCs w:val="40"/>
        </w:rPr>
        <w:t xml:space="preserve"> growth in Myanmar</w:t>
      </w:r>
      <w:r w:rsidR="005B1156" w:rsidRPr="00BA3DA5">
        <w:rPr>
          <w:sz w:val="40"/>
          <w:szCs w:val="40"/>
        </w:rPr>
        <w:t>: An introductory course</w:t>
      </w:r>
      <w:r>
        <w:rPr>
          <w:sz w:val="40"/>
          <w:szCs w:val="40"/>
        </w:rPr>
        <w:t>”</w:t>
      </w:r>
    </w:p>
    <w:p w:rsidR="00E532DC" w:rsidRPr="002B1020" w:rsidRDefault="00DF1299" w:rsidP="00A73C5A">
      <w:pPr>
        <w:rPr>
          <w:rFonts w:cstheme="minorHAnsi"/>
          <w:b/>
        </w:rPr>
      </w:pPr>
      <w:r>
        <w:t>A five</w:t>
      </w:r>
      <w:r w:rsidR="00E80D50">
        <w:t xml:space="preserve">-day course </w:t>
      </w:r>
      <w:r w:rsidR="00A73C5A">
        <w:t xml:space="preserve">was </w:t>
      </w:r>
      <w:r w:rsidR="00E80D50">
        <w:t>o</w:t>
      </w:r>
      <w:r w:rsidR="00AA0D80">
        <w:t xml:space="preserve">ffered by LIRNEasia </w:t>
      </w:r>
      <w:r w:rsidR="00413F51">
        <w:t xml:space="preserve">in collaboration </w:t>
      </w:r>
      <w:r w:rsidR="00625DEE">
        <w:t>with</w:t>
      </w:r>
      <w:r w:rsidR="00413F51">
        <w:t xml:space="preserve"> Myanmar ICT Development Organization</w:t>
      </w:r>
      <w:r w:rsidR="00D46675">
        <w:t xml:space="preserve"> (MIDO)</w:t>
      </w:r>
      <w:r w:rsidR="00413F51">
        <w:t>, with</w:t>
      </w:r>
      <w:r w:rsidR="00625DEE">
        <w:t xml:space="preserve"> support from the </w:t>
      </w:r>
      <w:r w:rsidR="00A048AB">
        <w:t xml:space="preserve">Open Society Foundation and </w:t>
      </w:r>
      <w:r w:rsidR="00413F51">
        <w:t xml:space="preserve">the </w:t>
      </w:r>
      <w:r w:rsidR="00625DEE">
        <w:t>International Development Res</w:t>
      </w:r>
      <w:r w:rsidR="00A048AB">
        <w:t>earch Centre of Canada</w:t>
      </w:r>
      <w:r w:rsidR="00D46675">
        <w:t xml:space="preserve"> (IDRC)</w:t>
      </w:r>
      <w:r w:rsidR="002B1020">
        <w:t xml:space="preserve"> at </w:t>
      </w:r>
      <w:r w:rsidR="00A73C5A">
        <w:t xml:space="preserve">the </w:t>
      </w:r>
      <w:r w:rsidR="002B1020" w:rsidRPr="00162BA4">
        <w:rPr>
          <w:rFonts w:cstheme="minorHAnsi"/>
        </w:rPr>
        <w:t xml:space="preserve">Royal </w:t>
      </w:r>
      <w:proofErr w:type="spellStart"/>
      <w:r w:rsidR="002B1020" w:rsidRPr="00162BA4">
        <w:rPr>
          <w:rFonts w:cstheme="minorHAnsi"/>
        </w:rPr>
        <w:t>K</w:t>
      </w:r>
      <w:r w:rsidR="002B1020">
        <w:rPr>
          <w:rFonts w:cstheme="minorHAnsi"/>
        </w:rPr>
        <w:t>aytumadi</w:t>
      </w:r>
      <w:proofErr w:type="spellEnd"/>
      <w:r w:rsidR="002B1020">
        <w:rPr>
          <w:rFonts w:cstheme="minorHAnsi"/>
        </w:rPr>
        <w:t xml:space="preserve"> Hotel, </w:t>
      </w:r>
      <w:proofErr w:type="spellStart"/>
      <w:r w:rsidR="002B1020">
        <w:rPr>
          <w:rFonts w:cstheme="minorHAnsi"/>
        </w:rPr>
        <w:t>Taungoo</w:t>
      </w:r>
      <w:proofErr w:type="spellEnd"/>
      <w:r w:rsidR="002B1020">
        <w:rPr>
          <w:rFonts w:cstheme="minorHAnsi"/>
        </w:rPr>
        <w:t xml:space="preserve">, </w:t>
      </w:r>
      <w:r w:rsidR="00162BA4" w:rsidRPr="00162BA4">
        <w:rPr>
          <w:rFonts w:cstheme="minorHAnsi"/>
        </w:rPr>
        <w:t>28</w:t>
      </w:r>
      <w:r w:rsidR="00162BA4" w:rsidRPr="00162BA4">
        <w:rPr>
          <w:rFonts w:cstheme="minorHAnsi"/>
          <w:vertAlign w:val="superscript"/>
        </w:rPr>
        <w:t>th</w:t>
      </w:r>
      <w:r w:rsidR="00162BA4" w:rsidRPr="00162BA4">
        <w:rPr>
          <w:rFonts w:cstheme="minorHAnsi"/>
        </w:rPr>
        <w:t xml:space="preserve"> September 2013 to 2</w:t>
      </w:r>
      <w:r w:rsidR="00162BA4" w:rsidRPr="00162BA4">
        <w:rPr>
          <w:rFonts w:cstheme="minorHAnsi"/>
          <w:vertAlign w:val="superscript"/>
        </w:rPr>
        <w:t>nd</w:t>
      </w:r>
      <w:r w:rsidR="002B1020">
        <w:rPr>
          <w:rFonts w:cstheme="minorHAnsi"/>
        </w:rPr>
        <w:t xml:space="preserve"> October 2013.</w:t>
      </w:r>
      <w:r w:rsidR="006F3795">
        <w:rPr>
          <w:rFonts w:cstheme="minorHAnsi"/>
        </w:rPr>
        <w:t xml:space="preserve">  The course was offered in September at the request of MIDO, which also wanted the content expanded to cover Internet issues.</w:t>
      </w:r>
      <w:r w:rsidR="00E532DC">
        <w:t xml:space="preserve"> </w:t>
      </w:r>
    </w:p>
    <w:p w:rsidR="002B1020" w:rsidRDefault="00FF7120" w:rsidP="00FF7120">
      <w:r>
        <w:t>T</w:t>
      </w:r>
      <w:r w:rsidR="002B1020">
        <w:t>he course sought t</w:t>
      </w:r>
      <w:r w:rsidR="00C877A9">
        <w:t>o enable members of Myanmar</w:t>
      </w:r>
      <w:r w:rsidR="00D67453">
        <w:t xml:space="preserve"> civil-</w:t>
      </w:r>
      <w:r w:rsidR="00BA3DA5">
        <w:t>society groups</w:t>
      </w:r>
      <w:r w:rsidR="00E532DC">
        <w:t xml:space="preserve"> to marshal available research and evidence for effe</w:t>
      </w:r>
      <w:r w:rsidR="00C877A9">
        <w:t>ctive participation in</w:t>
      </w:r>
      <w:r w:rsidR="00E532DC">
        <w:t xml:space="preserve"> policy and regulatory </w:t>
      </w:r>
      <w:r w:rsidR="00C877A9">
        <w:t>processes</w:t>
      </w:r>
      <w:r w:rsidR="00E532DC">
        <w:t>,</w:t>
      </w:r>
      <w:r w:rsidR="002F57BD">
        <w:t xml:space="preserve"> thereby improv</w:t>
      </w:r>
      <w:r w:rsidR="00E532DC">
        <w:t xml:space="preserve">ing policy </w:t>
      </w:r>
      <w:r w:rsidR="002F57BD">
        <w:t>processes and helping achieve the government’s objective of provid</w:t>
      </w:r>
      <w:r w:rsidR="00954569">
        <w:t>ing</w:t>
      </w:r>
      <w:r w:rsidR="002F57BD">
        <w:t xml:space="preserve"> ICT access to</w:t>
      </w:r>
      <w:r w:rsidR="00C877A9">
        <w:t xml:space="preserve"> all</w:t>
      </w:r>
      <w:r w:rsidR="00E532DC">
        <w:t>.</w:t>
      </w:r>
      <w:r w:rsidR="002B1020">
        <w:t xml:space="preserve">  The objective of the course was</w:t>
      </w:r>
      <w:r>
        <w:t xml:space="preserve"> to produce discerning and knowledgeable consumers of research who are able to engage</w:t>
      </w:r>
      <w:r w:rsidR="003E2C30">
        <w:t xml:space="preserve"> in an informed manner </w:t>
      </w:r>
      <w:r>
        <w:t>in ICT policy and regulatory processes in Myanmar.</w:t>
      </w:r>
      <w:r w:rsidR="002B1020">
        <w:t xml:space="preserve">  </w:t>
      </w:r>
      <w:bookmarkStart w:id="0" w:name="_GoBack"/>
      <w:bookmarkEnd w:id="0"/>
    </w:p>
    <w:p w:rsidR="00162BA4" w:rsidRDefault="002B1020" w:rsidP="0092236D">
      <w:r>
        <w:t xml:space="preserve">In addition to </w:t>
      </w:r>
      <w:r w:rsidR="00B914D2">
        <w:t>participating in 20 lecture/discussion sessions</w:t>
      </w:r>
      <w:r w:rsidR="00A73C5A">
        <w:t xml:space="preserve"> over the five days</w:t>
      </w:r>
      <w:r w:rsidR="009B5C0E">
        <w:t xml:space="preserve">, the </w:t>
      </w:r>
      <w:r w:rsidR="009B5C0E" w:rsidRPr="00F90E85">
        <w:t>32</w:t>
      </w:r>
      <w:r w:rsidR="00B914D2" w:rsidRPr="00F90E85">
        <w:t xml:space="preserve"> participants</w:t>
      </w:r>
      <w:r w:rsidR="00B914D2">
        <w:t xml:space="preserve"> worked in teams to develop </w:t>
      </w:r>
      <w:r w:rsidR="001320E3">
        <w:t xml:space="preserve">mock </w:t>
      </w:r>
      <w:r w:rsidR="00B914D2">
        <w:t>recommendations on</w:t>
      </w:r>
      <w:r w:rsidR="00072D1D">
        <w:rPr>
          <w:rFonts w:cs="Arial"/>
          <w:shd w:val="clear" w:color="auto" w:fill="FFFFFF"/>
        </w:rPr>
        <w:t xml:space="preserve"> topic areas that are being developed into </w:t>
      </w:r>
      <w:r w:rsidR="00B914D2">
        <w:rPr>
          <w:rFonts w:cs="Arial"/>
          <w:shd w:val="clear" w:color="auto" w:fill="FFFFFF"/>
        </w:rPr>
        <w:t>regulations under the new Act:</w:t>
      </w:r>
      <w:r w:rsidR="00B914D2">
        <w:t xml:space="preserve"> (</w:t>
      </w:r>
      <w:proofErr w:type="spellStart"/>
      <w:r w:rsidR="00B914D2">
        <w:t>i</w:t>
      </w:r>
      <w:proofErr w:type="spellEnd"/>
      <w:r w:rsidR="00B914D2">
        <w:t xml:space="preserve">) </w:t>
      </w:r>
      <w:r w:rsidR="001F4B54">
        <w:t>Licensing and authorization regulations</w:t>
      </w:r>
      <w:r w:rsidR="00B914D2">
        <w:t xml:space="preserve">; (ii) </w:t>
      </w:r>
      <w:r w:rsidR="00816E41">
        <w:t>Regulation of e</w:t>
      </w:r>
      <w:r w:rsidR="001F4B54">
        <w:t>ssential facilities and anti-competitive practices</w:t>
      </w:r>
      <w:r w:rsidR="00B914D2">
        <w:t xml:space="preserve">; (iii) </w:t>
      </w:r>
      <w:r w:rsidR="00816E41">
        <w:t>Universal-</w:t>
      </w:r>
      <w:r w:rsidR="001F4B54">
        <w:t>service policy</w:t>
      </w:r>
      <w:r w:rsidR="00B914D2">
        <w:t xml:space="preserve">; (iv) </w:t>
      </w:r>
      <w:r w:rsidR="001F4B54">
        <w:t>Price and quality regulation</w:t>
      </w:r>
      <w:r w:rsidR="00B914D2">
        <w:t xml:space="preserve">; and (v) </w:t>
      </w:r>
      <w:r w:rsidR="006E6541">
        <w:t xml:space="preserve">Independence of </w:t>
      </w:r>
      <w:r w:rsidR="00B914D2">
        <w:t xml:space="preserve">the </w:t>
      </w:r>
      <w:r w:rsidR="006E6541">
        <w:t>regulatory agency</w:t>
      </w:r>
      <w:r w:rsidR="00B914D2">
        <w:t>.</w:t>
      </w:r>
      <w:r w:rsidR="00BB38F5">
        <w:t xml:space="preserve">  They were instructed on how to find and assess information and on how to communicate policy-relevant information effectively.  The syllabus is given as Annex 1.</w:t>
      </w:r>
      <w:r w:rsidR="00B914D2">
        <w:t xml:space="preserve">  </w:t>
      </w:r>
    </w:p>
    <w:p w:rsidR="00B914D2" w:rsidRDefault="00A73C5A" w:rsidP="00964D9F">
      <w:pPr>
        <w:spacing w:line="23" w:lineRule="atLeast"/>
        <w:jc w:val="both"/>
        <w:rPr>
          <w:rFonts w:cs="Arial"/>
          <w:szCs w:val="20"/>
        </w:rPr>
      </w:pPr>
      <w:r>
        <w:rPr>
          <w:rFonts w:cs="Arial"/>
          <w:szCs w:val="20"/>
        </w:rPr>
        <w:t>The course faculty were</w:t>
      </w:r>
      <w:r w:rsidR="00B914D2" w:rsidRPr="00B914D2">
        <w:rPr>
          <w:rFonts w:cs="Arial"/>
          <w:szCs w:val="20"/>
        </w:rPr>
        <w:t xml:space="preserve"> </w:t>
      </w:r>
      <w:r w:rsidR="0035098E" w:rsidRPr="00B914D2">
        <w:rPr>
          <w:rFonts w:cs="Arial"/>
          <w:szCs w:val="20"/>
        </w:rPr>
        <w:t>Rohan Samarajiva, PhD, (course director)</w:t>
      </w:r>
      <w:r w:rsidR="00B914D2">
        <w:rPr>
          <w:rFonts w:cs="Arial"/>
          <w:szCs w:val="20"/>
        </w:rPr>
        <w:t xml:space="preserve">; Sunil Abraham; </w:t>
      </w:r>
      <w:proofErr w:type="spellStart"/>
      <w:r>
        <w:rPr>
          <w:rFonts w:cs="Arial"/>
          <w:szCs w:val="20"/>
        </w:rPr>
        <w:t>Helani</w:t>
      </w:r>
      <w:proofErr w:type="spellEnd"/>
      <w:r>
        <w:rPr>
          <w:rFonts w:cs="Arial"/>
          <w:szCs w:val="20"/>
        </w:rPr>
        <w:t xml:space="preserve"> </w:t>
      </w:r>
      <w:proofErr w:type="spellStart"/>
      <w:r>
        <w:rPr>
          <w:rFonts w:cs="Arial"/>
          <w:szCs w:val="20"/>
        </w:rPr>
        <w:t>Galpaya</w:t>
      </w:r>
      <w:proofErr w:type="spellEnd"/>
      <w:r>
        <w:rPr>
          <w:rFonts w:cs="Arial"/>
          <w:szCs w:val="20"/>
        </w:rPr>
        <w:t xml:space="preserve">; </w:t>
      </w:r>
      <w:proofErr w:type="spellStart"/>
      <w:r>
        <w:rPr>
          <w:rFonts w:cs="Arial"/>
          <w:szCs w:val="20"/>
        </w:rPr>
        <w:t>Nilusha</w:t>
      </w:r>
      <w:proofErr w:type="spellEnd"/>
      <w:r>
        <w:rPr>
          <w:rFonts w:cs="Arial"/>
          <w:szCs w:val="20"/>
        </w:rPr>
        <w:t xml:space="preserve"> </w:t>
      </w:r>
      <w:proofErr w:type="spellStart"/>
      <w:r>
        <w:rPr>
          <w:rFonts w:cs="Arial"/>
          <w:szCs w:val="20"/>
        </w:rPr>
        <w:t>Kapugama</w:t>
      </w:r>
      <w:proofErr w:type="spellEnd"/>
      <w:r>
        <w:rPr>
          <w:rFonts w:cs="Arial"/>
          <w:szCs w:val="20"/>
        </w:rPr>
        <w:t xml:space="preserve">, </w:t>
      </w:r>
      <w:proofErr w:type="spellStart"/>
      <w:r>
        <w:rPr>
          <w:rFonts w:cs="Arial"/>
          <w:szCs w:val="20"/>
        </w:rPr>
        <w:t>Rajat</w:t>
      </w:r>
      <w:proofErr w:type="spellEnd"/>
      <w:r>
        <w:rPr>
          <w:rFonts w:cs="Arial"/>
          <w:szCs w:val="20"/>
        </w:rPr>
        <w:t xml:space="preserve"> </w:t>
      </w:r>
      <w:proofErr w:type="spellStart"/>
      <w:r>
        <w:rPr>
          <w:rFonts w:cs="Arial"/>
          <w:szCs w:val="20"/>
        </w:rPr>
        <w:t>Kathuria</w:t>
      </w:r>
      <w:proofErr w:type="spellEnd"/>
      <w:r>
        <w:rPr>
          <w:rFonts w:cs="Arial"/>
          <w:szCs w:val="20"/>
        </w:rPr>
        <w:t xml:space="preserve">, PhD; and </w:t>
      </w:r>
      <w:proofErr w:type="spellStart"/>
      <w:r>
        <w:rPr>
          <w:rFonts w:cs="Arial"/>
          <w:szCs w:val="20"/>
        </w:rPr>
        <w:t>Koesmarihati</w:t>
      </w:r>
      <w:proofErr w:type="spellEnd"/>
      <w:r>
        <w:rPr>
          <w:rFonts w:cs="Arial"/>
          <w:szCs w:val="20"/>
        </w:rPr>
        <w:t xml:space="preserve"> </w:t>
      </w:r>
      <w:proofErr w:type="spellStart"/>
      <w:r>
        <w:rPr>
          <w:rFonts w:cs="Arial"/>
          <w:szCs w:val="20"/>
        </w:rPr>
        <w:t>Sugondo</w:t>
      </w:r>
      <w:proofErr w:type="spellEnd"/>
      <w:r>
        <w:rPr>
          <w:rFonts w:cs="Arial"/>
          <w:szCs w:val="20"/>
        </w:rPr>
        <w:t>.  Three were from Sri Lanka; two from India; and one from Indonesia.</w:t>
      </w:r>
      <w:r w:rsidR="00BB38F5">
        <w:rPr>
          <w:rFonts w:cs="Arial"/>
          <w:szCs w:val="20"/>
        </w:rPr>
        <w:t xml:space="preserve">  Two were former members of regulatory bodies</w:t>
      </w:r>
      <w:r w:rsidR="001469A0">
        <w:rPr>
          <w:rFonts w:cs="Arial"/>
          <w:szCs w:val="20"/>
        </w:rPr>
        <w:t xml:space="preserve"> (Sri Lanka and Indonesia)</w:t>
      </w:r>
      <w:r w:rsidR="00BB38F5">
        <w:rPr>
          <w:rFonts w:cs="Arial"/>
          <w:szCs w:val="20"/>
        </w:rPr>
        <w:t>; one was a senior staff member of a regulatory agency</w:t>
      </w:r>
      <w:r w:rsidR="001469A0">
        <w:rPr>
          <w:rFonts w:cs="Arial"/>
          <w:szCs w:val="20"/>
        </w:rPr>
        <w:t xml:space="preserve"> (India)</w:t>
      </w:r>
      <w:r w:rsidR="00BB38F5">
        <w:rPr>
          <w:rFonts w:cs="Arial"/>
          <w:szCs w:val="20"/>
        </w:rPr>
        <w:t>.  All three had experience with the establishment of regulatory agencies in their respective countries.</w:t>
      </w:r>
      <w:r w:rsidR="004D12A7">
        <w:rPr>
          <w:rFonts w:cs="Arial"/>
          <w:szCs w:val="20"/>
        </w:rPr>
        <w:t xml:space="preserve">  F</w:t>
      </w:r>
      <w:r w:rsidR="00BB38F5">
        <w:rPr>
          <w:rFonts w:cs="Arial"/>
          <w:szCs w:val="20"/>
        </w:rPr>
        <w:t>aculty descriptions</w:t>
      </w:r>
      <w:r w:rsidR="004D12A7">
        <w:rPr>
          <w:rFonts w:cs="Arial"/>
          <w:szCs w:val="20"/>
        </w:rPr>
        <w:t xml:space="preserve"> are included in </w:t>
      </w:r>
      <w:r w:rsidR="001320E3">
        <w:rPr>
          <w:rFonts w:cs="Arial"/>
          <w:szCs w:val="20"/>
        </w:rPr>
        <w:t>the syllabus in Annex 1</w:t>
      </w:r>
      <w:r w:rsidR="00BB38F5">
        <w:rPr>
          <w:rFonts w:cs="Arial"/>
          <w:szCs w:val="20"/>
        </w:rPr>
        <w:t>.</w:t>
      </w:r>
    </w:p>
    <w:p w:rsidR="00BB38F5" w:rsidRDefault="001469A0" w:rsidP="00964D9F">
      <w:pPr>
        <w:spacing w:line="23" w:lineRule="atLeast"/>
        <w:jc w:val="both"/>
        <w:rPr>
          <w:rFonts w:cs="Arial"/>
          <w:szCs w:val="20"/>
        </w:rPr>
      </w:pPr>
      <w:r>
        <w:rPr>
          <w:rFonts w:cs="Arial"/>
          <w:szCs w:val="20"/>
        </w:rPr>
        <w:t>Eighteen</w:t>
      </w:r>
      <w:r w:rsidR="009B5C0E" w:rsidRPr="00F90E85">
        <w:rPr>
          <w:rFonts w:cs="Arial"/>
          <w:szCs w:val="20"/>
        </w:rPr>
        <w:t xml:space="preserve"> men and 14 women</w:t>
      </w:r>
      <w:r>
        <w:rPr>
          <w:rFonts w:cs="Arial"/>
          <w:szCs w:val="20"/>
        </w:rPr>
        <w:t xml:space="preserve"> actively participated in the course</w:t>
      </w:r>
      <w:r w:rsidR="009B5C0E">
        <w:rPr>
          <w:rFonts w:cs="Arial"/>
          <w:szCs w:val="20"/>
        </w:rPr>
        <w:t xml:space="preserve">.  Among them were five officers nominated by the Director General of </w:t>
      </w:r>
      <w:r w:rsidR="00F90E85">
        <w:rPr>
          <w:rFonts w:cs="Arial"/>
          <w:szCs w:val="20"/>
        </w:rPr>
        <w:t>the Ministry of Communication and Information Technology (MCIT)</w:t>
      </w:r>
      <w:r w:rsidR="009B5C0E">
        <w:rPr>
          <w:rFonts w:cs="Arial"/>
          <w:szCs w:val="20"/>
        </w:rPr>
        <w:t>.  Three persons from the National League for Democracy</w:t>
      </w:r>
      <w:r w:rsidR="00F90E85">
        <w:rPr>
          <w:rFonts w:cs="Arial"/>
          <w:szCs w:val="20"/>
        </w:rPr>
        <w:t xml:space="preserve"> (NLD)</w:t>
      </w:r>
      <w:r w:rsidR="009B5C0E">
        <w:rPr>
          <w:rFonts w:cs="Arial"/>
          <w:szCs w:val="20"/>
        </w:rPr>
        <w:t xml:space="preserve"> and the 1988 Generation attended.  Many civil-society organizations were represented.  Two journalists participated.</w:t>
      </w:r>
      <w:r w:rsidR="001320E3">
        <w:rPr>
          <w:rFonts w:cs="Arial"/>
          <w:szCs w:val="20"/>
        </w:rPr>
        <w:t xml:space="preserve">  The participant list is given as </w:t>
      </w:r>
      <w:r w:rsidR="001320E3" w:rsidRPr="00F90E85">
        <w:rPr>
          <w:rFonts w:cs="Arial"/>
          <w:szCs w:val="20"/>
        </w:rPr>
        <w:t>Annex 2.</w:t>
      </w:r>
    </w:p>
    <w:p w:rsidR="001320E3" w:rsidRDefault="001320E3" w:rsidP="00964D9F">
      <w:pPr>
        <w:spacing w:line="23" w:lineRule="atLeast"/>
        <w:jc w:val="both"/>
        <w:rPr>
          <w:rFonts w:cs="Arial"/>
          <w:szCs w:val="20"/>
        </w:rPr>
      </w:pPr>
      <w:r>
        <w:rPr>
          <w:rFonts w:cs="Arial"/>
          <w:szCs w:val="20"/>
        </w:rPr>
        <w:t xml:space="preserve">At the end of the course, the civil-society participants resolved to collectively develop </w:t>
      </w:r>
      <w:r w:rsidR="001469A0">
        <w:rPr>
          <w:rFonts w:cs="Arial"/>
          <w:szCs w:val="20"/>
        </w:rPr>
        <w:t xml:space="preserve">and submit to government </w:t>
      </w:r>
      <w:r>
        <w:rPr>
          <w:rFonts w:cs="Arial"/>
          <w:szCs w:val="20"/>
        </w:rPr>
        <w:t xml:space="preserve">a </w:t>
      </w:r>
      <w:r w:rsidR="00E90655">
        <w:rPr>
          <w:rFonts w:cs="Arial"/>
          <w:szCs w:val="20"/>
        </w:rPr>
        <w:t xml:space="preserve">“White Paper” on how provisions related to an independent regulatory agency should be operationalized.  </w:t>
      </w:r>
    </w:p>
    <w:p w:rsidR="001320E3" w:rsidRDefault="00A73C5A" w:rsidP="001320E3">
      <w:pPr>
        <w:jc w:val="right"/>
      </w:pPr>
      <w:r>
        <w:rPr>
          <w:rStyle w:val="Hyperlink"/>
        </w:rPr>
        <w:br w:type="page"/>
      </w:r>
    </w:p>
    <w:p w:rsidR="001320E3" w:rsidRDefault="001320E3" w:rsidP="001320E3">
      <w:pPr>
        <w:pStyle w:val="Title"/>
        <w:jc w:val="center"/>
      </w:pPr>
      <w:r>
        <w:lastRenderedPageBreak/>
        <w:t>Syllabus: “Policy and regulation conducive to rapid ICT sector growth in Myanmar: An introductory course”</w:t>
      </w:r>
    </w:p>
    <w:p w:rsidR="001320E3" w:rsidRDefault="001320E3" w:rsidP="001320E3">
      <w:pPr>
        <w:jc w:val="center"/>
      </w:pPr>
      <w:r>
        <w:t>A five-day course offered by LIRNEasia in collaboration with Myanmar ICT Development Organization (MIDO), with support from the Open Society Foundation</w:t>
      </w:r>
      <w:r w:rsidR="001469A0">
        <w:t>s</w:t>
      </w:r>
      <w:r>
        <w:t xml:space="preserve"> and the International Development Research Centre of Canada (IDRC)</w:t>
      </w:r>
    </w:p>
    <w:p w:rsidR="001320E3" w:rsidRPr="00162BA4" w:rsidRDefault="001320E3" w:rsidP="001320E3">
      <w:pPr>
        <w:pStyle w:val="Heading3"/>
        <w:spacing w:before="0" w:after="240"/>
        <w:jc w:val="center"/>
        <w:textAlignment w:val="baseline"/>
        <w:rPr>
          <w:rFonts w:asciiTheme="minorHAnsi" w:hAnsiTheme="minorHAnsi" w:cstheme="minorHAnsi"/>
          <w:b w:val="0"/>
          <w:color w:val="auto"/>
        </w:rPr>
      </w:pPr>
      <w:r w:rsidRPr="00D46675">
        <w:rPr>
          <w:color w:val="365F91" w:themeColor="accent1" w:themeShade="BF"/>
        </w:rPr>
        <w:t>Dates:</w:t>
      </w:r>
      <w:r w:rsidRPr="00162BA4">
        <w:rPr>
          <w:rFonts w:asciiTheme="minorHAnsi" w:hAnsiTheme="minorHAnsi" w:cstheme="minorHAnsi"/>
          <w:b w:val="0"/>
          <w:color w:val="auto"/>
        </w:rPr>
        <w:t xml:space="preserve"> 28</w:t>
      </w:r>
      <w:r w:rsidRPr="00162BA4">
        <w:rPr>
          <w:rFonts w:asciiTheme="minorHAnsi" w:hAnsiTheme="minorHAnsi" w:cstheme="minorHAnsi"/>
          <w:b w:val="0"/>
          <w:color w:val="auto"/>
          <w:vertAlign w:val="superscript"/>
        </w:rPr>
        <w:t>th</w:t>
      </w:r>
      <w:r w:rsidRPr="00162BA4">
        <w:rPr>
          <w:rFonts w:asciiTheme="minorHAnsi" w:hAnsiTheme="minorHAnsi" w:cstheme="minorHAnsi"/>
          <w:b w:val="0"/>
          <w:color w:val="auto"/>
        </w:rPr>
        <w:t xml:space="preserve"> September 2013 to 2</w:t>
      </w:r>
      <w:r w:rsidRPr="00162BA4">
        <w:rPr>
          <w:rFonts w:asciiTheme="minorHAnsi" w:hAnsiTheme="minorHAnsi" w:cstheme="minorHAnsi"/>
          <w:b w:val="0"/>
          <w:color w:val="auto"/>
          <w:vertAlign w:val="superscript"/>
        </w:rPr>
        <w:t>nd</w:t>
      </w:r>
      <w:r w:rsidRPr="00162BA4">
        <w:rPr>
          <w:rFonts w:asciiTheme="minorHAnsi" w:hAnsiTheme="minorHAnsi" w:cstheme="minorHAnsi"/>
          <w:b w:val="0"/>
          <w:color w:val="auto"/>
        </w:rPr>
        <w:t xml:space="preserve"> October 2013 </w:t>
      </w:r>
    </w:p>
    <w:p w:rsidR="001320E3" w:rsidRPr="00162BA4" w:rsidRDefault="001320E3" w:rsidP="001320E3">
      <w:pPr>
        <w:pStyle w:val="Heading3"/>
        <w:spacing w:before="0" w:after="240"/>
        <w:jc w:val="center"/>
        <w:textAlignment w:val="baseline"/>
        <w:rPr>
          <w:rFonts w:asciiTheme="minorHAnsi" w:hAnsiTheme="minorHAnsi" w:cstheme="minorHAnsi"/>
          <w:b w:val="0"/>
          <w:color w:val="auto"/>
        </w:rPr>
      </w:pPr>
      <w:r w:rsidRPr="00D46675">
        <w:rPr>
          <w:color w:val="365F91" w:themeColor="accent1" w:themeShade="BF"/>
        </w:rPr>
        <w:t>Location:</w:t>
      </w:r>
      <w:r w:rsidRPr="00162BA4">
        <w:rPr>
          <w:rFonts w:asciiTheme="minorHAnsi" w:hAnsiTheme="minorHAnsi" w:cstheme="minorHAnsi"/>
          <w:b w:val="0"/>
          <w:color w:val="auto"/>
        </w:rPr>
        <w:t xml:space="preserve"> Royal </w:t>
      </w:r>
      <w:proofErr w:type="spellStart"/>
      <w:r w:rsidRPr="00162BA4">
        <w:rPr>
          <w:rFonts w:asciiTheme="minorHAnsi" w:hAnsiTheme="minorHAnsi" w:cstheme="minorHAnsi"/>
          <w:b w:val="0"/>
          <w:color w:val="auto"/>
        </w:rPr>
        <w:t>Kaytumadi</w:t>
      </w:r>
      <w:proofErr w:type="spellEnd"/>
      <w:r w:rsidRPr="00162BA4">
        <w:rPr>
          <w:rFonts w:asciiTheme="minorHAnsi" w:hAnsiTheme="minorHAnsi" w:cstheme="minorHAnsi"/>
          <w:b w:val="0"/>
          <w:color w:val="auto"/>
        </w:rPr>
        <w:t xml:space="preserve"> Hotel, </w:t>
      </w:r>
      <w:proofErr w:type="spellStart"/>
      <w:r w:rsidRPr="00162BA4">
        <w:rPr>
          <w:rFonts w:asciiTheme="minorHAnsi" w:hAnsiTheme="minorHAnsi" w:cstheme="minorHAnsi"/>
          <w:b w:val="0"/>
          <w:color w:val="auto"/>
        </w:rPr>
        <w:t>Taungoo</w:t>
      </w:r>
      <w:proofErr w:type="spellEnd"/>
      <w:r w:rsidRPr="00162BA4">
        <w:rPr>
          <w:rFonts w:asciiTheme="minorHAnsi" w:hAnsiTheme="minorHAnsi" w:cstheme="minorHAnsi"/>
          <w:b w:val="0"/>
          <w:color w:val="auto"/>
        </w:rPr>
        <w:t xml:space="preserve">, Myanmar </w:t>
      </w:r>
      <w:hyperlink r:id="rId9" w:history="1">
        <w:r w:rsidRPr="00D46675">
          <w:rPr>
            <w:rStyle w:val="Hyperlink"/>
            <w:rFonts w:asciiTheme="minorHAnsi" w:hAnsiTheme="minorHAnsi" w:cstheme="minorHAnsi"/>
            <w:b w:val="0"/>
            <w:color w:val="0070C0"/>
          </w:rPr>
          <w:t>http://royalkaytumadi.kmahotels.com/</w:t>
        </w:r>
      </w:hyperlink>
    </w:p>
    <w:p w:rsidR="001320E3" w:rsidRDefault="001320E3" w:rsidP="001320E3">
      <w:pPr>
        <w:pStyle w:val="Heading1"/>
        <w:numPr>
          <w:ilvl w:val="0"/>
          <w:numId w:val="1"/>
        </w:numPr>
        <w:spacing w:before="0" w:line="240" w:lineRule="auto"/>
      </w:pPr>
      <w:r>
        <w:t xml:space="preserve">Goal </w:t>
      </w:r>
    </w:p>
    <w:p w:rsidR="001320E3" w:rsidRDefault="001320E3" w:rsidP="001320E3">
      <w:r>
        <w:t>To enable members of Myanmar civil-society groups (including academics and those from the media) to marshal available research and evidence for effective participation in policy and regulatory processes, thereby improving policy processes and helping achieve the government’s objective of providing ICT access to all.</w:t>
      </w:r>
    </w:p>
    <w:p w:rsidR="001320E3" w:rsidRDefault="001320E3" w:rsidP="001320E3">
      <w:pPr>
        <w:pStyle w:val="Heading1"/>
        <w:numPr>
          <w:ilvl w:val="0"/>
          <w:numId w:val="1"/>
        </w:numPr>
        <w:spacing w:before="0" w:line="240" w:lineRule="auto"/>
      </w:pPr>
      <w:r>
        <w:t>Outcomes</w:t>
      </w:r>
    </w:p>
    <w:p w:rsidR="001320E3" w:rsidRDefault="001320E3" w:rsidP="001320E3">
      <w:r>
        <w:t>The objective of the course is to produce discerning and knowledgeable consumers of research who are able to engage in an informed manner in ICT policy and regulatory processes in Myanmar.  The course will benefit those working in government and operators as well.</w:t>
      </w:r>
    </w:p>
    <w:p w:rsidR="001320E3" w:rsidRDefault="001320E3" w:rsidP="001320E3">
      <w:pPr>
        <w:ind w:left="50"/>
      </w:pPr>
      <w:r>
        <w:t>At the end of the course attendees will:</w:t>
      </w:r>
    </w:p>
    <w:p w:rsidR="001320E3" w:rsidRPr="00FF7120" w:rsidRDefault="001320E3" w:rsidP="001320E3">
      <w:pPr>
        <w:numPr>
          <w:ilvl w:val="0"/>
          <w:numId w:val="2"/>
        </w:numPr>
        <w:spacing w:after="0" w:line="240" w:lineRule="auto"/>
        <w:jc w:val="both"/>
        <w:rPr>
          <w:rFonts w:cstheme="minorHAnsi"/>
        </w:rPr>
      </w:pPr>
      <w:r w:rsidRPr="00FF7120">
        <w:rPr>
          <w:rFonts w:cstheme="minorHAnsi"/>
        </w:rPr>
        <w:t xml:space="preserve">Have an understanding of telecom policy and regulatory processes </w:t>
      </w:r>
    </w:p>
    <w:p w:rsidR="001320E3" w:rsidRPr="00FF7120" w:rsidRDefault="001320E3" w:rsidP="001320E3">
      <w:pPr>
        <w:numPr>
          <w:ilvl w:val="0"/>
          <w:numId w:val="2"/>
        </w:numPr>
        <w:spacing w:after="0" w:line="240" w:lineRule="auto"/>
        <w:jc w:val="both"/>
        <w:rPr>
          <w:rFonts w:cstheme="minorHAnsi"/>
        </w:rPr>
      </w:pPr>
      <w:r w:rsidRPr="00FF7120">
        <w:rPr>
          <w:rFonts w:cstheme="minorHAnsi"/>
        </w:rPr>
        <w:t>Be able to find and assess relevant research &amp; evidence</w:t>
      </w:r>
    </w:p>
    <w:p w:rsidR="001320E3" w:rsidRPr="00FF7120" w:rsidRDefault="001320E3" w:rsidP="001320E3">
      <w:pPr>
        <w:numPr>
          <w:ilvl w:val="0"/>
          <w:numId w:val="2"/>
        </w:numPr>
        <w:spacing w:after="0" w:line="240" w:lineRule="auto"/>
        <w:jc w:val="both"/>
        <w:rPr>
          <w:rFonts w:cstheme="minorHAnsi"/>
        </w:rPr>
      </w:pPr>
      <w:r w:rsidRPr="00FF7120">
        <w:rPr>
          <w:rFonts w:cstheme="minorHAnsi"/>
        </w:rPr>
        <w:t>Be able to summarize the research in a coherent and comprehensive manner</w:t>
      </w:r>
    </w:p>
    <w:p w:rsidR="001320E3" w:rsidRPr="00FF7120" w:rsidRDefault="001320E3" w:rsidP="001320E3">
      <w:pPr>
        <w:numPr>
          <w:ilvl w:val="0"/>
          <w:numId w:val="2"/>
        </w:numPr>
        <w:spacing w:after="0" w:line="240" w:lineRule="auto"/>
        <w:jc w:val="both"/>
        <w:rPr>
          <w:rFonts w:cstheme="minorHAnsi"/>
        </w:rPr>
      </w:pPr>
      <w:r w:rsidRPr="00FF7120">
        <w:rPr>
          <w:rFonts w:cstheme="minorHAnsi"/>
        </w:rPr>
        <w:t>Have the necessary tools to improve their communication skills</w:t>
      </w:r>
    </w:p>
    <w:p w:rsidR="001320E3" w:rsidRDefault="001320E3" w:rsidP="001320E3">
      <w:pPr>
        <w:rPr>
          <w:lang w:bidi="ar-SA"/>
        </w:rPr>
      </w:pPr>
      <w:r>
        <w:br w:type="page"/>
      </w:r>
    </w:p>
    <w:p w:rsidR="001320E3" w:rsidRDefault="001320E3" w:rsidP="001320E3">
      <w:pPr>
        <w:pStyle w:val="Heading1"/>
        <w:numPr>
          <w:ilvl w:val="0"/>
          <w:numId w:val="1"/>
        </w:numPr>
      </w:pPr>
      <w:r>
        <w:lastRenderedPageBreak/>
        <w:t>Assignments</w:t>
      </w:r>
    </w:p>
    <w:p w:rsidR="001320E3" w:rsidRDefault="001320E3" w:rsidP="001320E3">
      <w:pPr>
        <w:rPr>
          <w:rFonts w:cs="Arial"/>
          <w:shd w:val="clear" w:color="auto" w:fill="FFFFFF"/>
        </w:rPr>
      </w:pPr>
      <w:r w:rsidRPr="00D77594">
        <w:t>Participants will be formed into teams</w:t>
      </w:r>
      <w:r>
        <w:t xml:space="preserve"> on D</w:t>
      </w:r>
      <w:r w:rsidRPr="00D77594">
        <w:t>ay1.  Each group will work on an assignment that addresses both sub</w:t>
      </w:r>
      <w:r>
        <w:t xml:space="preserve">stantive and procedural aspects </w:t>
      </w:r>
      <w:r w:rsidRPr="00D77594">
        <w:t xml:space="preserve">of </w:t>
      </w:r>
      <w:r>
        <w:t>law, policy and regulation</w:t>
      </w:r>
      <w:r w:rsidRPr="00D77594">
        <w:t>.</w:t>
      </w:r>
      <w:r w:rsidRPr="00D77594">
        <w:rPr>
          <w:rFonts w:cs="Arial"/>
          <w:shd w:val="clear" w:color="auto" w:fill="FFFFFF"/>
        </w:rPr>
        <w:t xml:space="preserve"> Teams will </w:t>
      </w:r>
      <w:r>
        <w:rPr>
          <w:rFonts w:cs="Arial"/>
          <w:shd w:val="clear" w:color="auto" w:fill="FFFFFF"/>
        </w:rPr>
        <w:t>be assigned topic areas that are being developed into regulations under the new Act.</w:t>
      </w:r>
      <w:r w:rsidRPr="00D77594">
        <w:rPr>
          <w:rFonts w:cs="Arial"/>
          <w:shd w:val="clear" w:color="auto" w:fill="FFFFFF"/>
        </w:rPr>
        <w:t xml:space="preserve"> </w:t>
      </w:r>
      <w:r>
        <w:rPr>
          <w:rFonts w:cs="Arial"/>
          <w:shd w:val="clear" w:color="auto" w:fill="FFFFFF"/>
        </w:rPr>
        <w:t xml:space="preserve"> </w:t>
      </w:r>
      <w:r w:rsidRPr="00D77594">
        <w:rPr>
          <w:rFonts w:cs="Arial"/>
          <w:shd w:val="clear" w:color="auto" w:fill="FFFFFF"/>
        </w:rPr>
        <w:t xml:space="preserve"> They will have to make presentations on what </w:t>
      </w:r>
      <w:r>
        <w:rPr>
          <w:rFonts w:cs="Arial"/>
          <w:shd w:val="clear" w:color="auto" w:fill="FFFFFF"/>
        </w:rPr>
        <w:t>the desirable provisions should be</w:t>
      </w:r>
      <w:r w:rsidRPr="00D77594">
        <w:rPr>
          <w:rFonts w:cs="Arial"/>
          <w:shd w:val="clear" w:color="auto" w:fill="FFFFFF"/>
        </w:rPr>
        <w:t>.   We will emphasize the procedural asp</w:t>
      </w:r>
      <w:r>
        <w:rPr>
          <w:rFonts w:cs="Arial"/>
          <w:shd w:val="clear" w:color="auto" w:fill="FFFFFF"/>
        </w:rPr>
        <w:t>ects as well as the substantive.  Disciplined and focused team presentations, preferably using slides, are required.</w:t>
      </w:r>
      <w:r w:rsidRPr="00D77594">
        <w:rPr>
          <w:rFonts w:cs="Arial"/>
          <w:shd w:val="clear" w:color="auto" w:fill="FFFFFF"/>
        </w:rPr>
        <w:t xml:space="preserve"> </w:t>
      </w:r>
    </w:p>
    <w:p w:rsidR="001320E3" w:rsidRDefault="001320E3" w:rsidP="001320E3">
      <w:pPr>
        <w:rPr>
          <w:rFonts w:cs="Arial"/>
          <w:shd w:val="clear" w:color="auto" w:fill="FFFFFF"/>
        </w:rPr>
      </w:pPr>
      <w:r>
        <w:rPr>
          <w:rFonts w:cs="Arial"/>
          <w:shd w:val="clear" w:color="auto" w:fill="FFFFFF"/>
        </w:rPr>
        <w:t>It is necessary to use the Internet for the assignments.  All who have laptops are encouraged to bring them.  Arrangements will be made for Internet connectivity at the hotel.</w:t>
      </w:r>
    </w:p>
    <w:p w:rsidR="001320E3" w:rsidRDefault="001320E3" w:rsidP="001320E3">
      <w:r>
        <w:t>Tentative topic areas</w:t>
      </w:r>
    </w:p>
    <w:p w:rsidR="001320E3" w:rsidRDefault="001320E3" w:rsidP="001320E3">
      <w:pPr>
        <w:pStyle w:val="ListParagraph"/>
        <w:numPr>
          <w:ilvl w:val="0"/>
          <w:numId w:val="7"/>
        </w:numPr>
      </w:pPr>
      <w:r>
        <w:t>Licensing and authorization regulations</w:t>
      </w:r>
    </w:p>
    <w:p w:rsidR="001320E3" w:rsidRDefault="001320E3" w:rsidP="001320E3">
      <w:pPr>
        <w:pStyle w:val="ListParagraph"/>
        <w:numPr>
          <w:ilvl w:val="0"/>
          <w:numId w:val="7"/>
        </w:numPr>
      </w:pPr>
      <w:r>
        <w:t>Regulation of essential facilities and anti-competitive practices</w:t>
      </w:r>
    </w:p>
    <w:p w:rsidR="001320E3" w:rsidRDefault="001320E3" w:rsidP="001320E3">
      <w:pPr>
        <w:pStyle w:val="ListParagraph"/>
        <w:numPr>
          <w:ilvl w:val="0"/>
          <w:numId w:val="7"/>
        </w:numPr>
      </w:pPr>
      <w:r>
        <w:t>Universal-service policy</w:t>
      </w:r>
    </w:p>
    <w:p w:rsidR="001320E3" w:rsidRDefault="001320E3" w:rsidP="001320E3">
      <w:pPr>
        <w:pStyle w:val="ListParagraph"/>
        <w:numPr>
          <w:ilvl w:val="0"/>
          <w:numId w:val="7"/>
        </w:numPr>
      </w:pPr>
      <w:r>
        <w:t>Price and quality regulation</w:t>
      </w:r>
    </w:p>
    <w:p w:rsidR="001320E3" w:rsidRPr="00D77594" w:rsidRDefault="001320E3" w:rsidP="001320E3">
      <w:pPr>
        <w:pStyle w:val="ListParagraph"/>
        <w:numPr>
          <w:ilvl w:val="0"/>
          <w:numId w:val="7"/>
        </w:numPr>
      </w:pPr>
      <w:r>
        <w:t>Independence of regulatory agency</w:t>
      </w:r>
    </w:p>
    <w:p w:rsidR="001320E3" w:rsidRDefault="001320E3" w:rsidP="001320E3"/>
    <w:p w:rsidR="001320E3" w:rsidRDefault="001320E3" w:rsidP="001320E3">
      <w:r>
        <w:br w:type="page"/>
      </w:r>
    </w:p>
    <w:p w:rsidR="001320E3" w:rsidRDefault="001320E3" w:rsidP="001320E3">
      <w:pPr>
        <w:pStyle w:val="Heading1"/>
        <w:numPr>
          <w:ilvl w:val="0"/>
          <w:numId w:val="10"/>
        </w:numPr>
        <w:spacing w:before="240"/>
      </w:pPr>
      <w:r>
        <w:lastRenderedPageBreak/>
        <w:t>Course schedule</w:t>
      </w:r>
    </w:p>
    <w:tbl>
      <w:tblPr>
        <w:tblStyle w:val="TableGrid"/>
        <w:tblpPr w:leftFromText="180" w:rightFromText="180" w:vertAnchor="page" w:horzAnchor="margin" w:tblpY="2697"/>
        <w:tblW w:w="5000" w:type="pct"/>
        <w:tblLayout w:type="fixed"/>
        <w:tblLook w:val="04A0" w:firstRow="1" w:lastRow="0" w:firstColumn="1" w:lastColumn="0" w:noHBand="0" w:noVBand="1"/>
      </w:tblPr>
      <w:tblGrid>
        <w:gridCol w:w="865"/>
        <w:gridCol w:w="1706"/>
        <w:gridCol w:w="1492"/>
        <w:gridCol w:w="1973"/>
        <w:gridCol w:w="1770"/>
        <w:gridCol w:w="1770"/>
      </w:tblGrid>
      <w:tr w:rsidR="001320E3" w:rsidRPr="008649C9" w:rsidTr="00CA385D">
        <w:trPr>
          <w:trHeight w:val="300"/>
        </w:trPr>
        <w:tc>
          <w:tcPr>
            <w:tcW w:w="451" w:type="pct"/>
            <w:noWrap/>
            <w:hideMark/>
          </w:tcPr>
          <w:p w:rsidR="001320E3" w:rsidRPr="008649C9" w:rsidRDefault="001320E3" w:rsidP="00CA385D">
            <w:pPr>
              <w:jc w:val="left"/>
            </w:pPr>
          </w:p>
        </w:tc>
        <w:tc>
          <w:tcPr>
            <w:tcW w:w="891" w:type="pct"/>
            <w:noWrap/>
            <w:hideMark/>
          </w:tcPr>
          <w:p w:rsidR="001320E3" w:rsidRPr="006E7BE1" w:rsidRDefault="001320E3" w:rsidP="00CA385D">
            <w:pPr>
              <w:jc w:val="left"/>
              <w:rPr>
                <w:b/>
                <w:bCs/>
              </w:rPr>
            </w:pPr>
            <w:r w:rsidRPr="006E7BE1">
              <w:rPr>
                <w:b/>
                <w:bCs/>
              </w:rPr>
              <w:t>Day1 (28 Sep)</w:t>
            </w:r>
          </w:p>
        </w:tc>
        <w:tc>
          <w:tcPr>
            <w:tcW w:w="779" w:type="pct"/>
            <w:noWrap/>
            <w:hideMark/>
          </w:tcPr>
          <w:p w:rsidR="001320E3" w:rsidRPr="006E7BE1" w:rsidRDefault="001320E3" w:rsidP="00CA385D">
            <w:pPr>
              <w:jc w:val="left"/>
              <w:rPr>
                <w:b/>
                <w:bCs/>
              </w:rPr>
            </w:pPr>
            <w:r w:rsidRPr="006E7BE1">
              <w:rPr>
                <w:b/>
                <w:bCs/>
              </w:rPr>
              <w:t>Day2 (29 Sep)</w:t>
            </w:r>
          </w:p>
        </w:tc>
        <w:tc>
          <w:tcPr>
            <w:tcW w:w="1030" w:type="pct"/>
            <w:noWrap/>
            <w:hideMark/>
          </w:tcPr>
          <w:p w:rsidR="001320E3" w:rsidRPr="006E7BE1" w:rsidRDefault="001320E3" w:rsidP="00CA385D">
            <w:pPr>
              <w:jc w:val="left"/>
              <w:rPr>
                <w:b/>
                <w:bCs/>
              </w:rPr>
            </w:pPr>
            <w:r w:rsidRPr="006E7BE1">
              <w:rPr>
                <w:b/>
                <w:bCs/>
              </w:rPr>
              <w:t>Day3 (30 Sep)</w:t>
            </w:r>
          </w:p>
        </w:tc>
        <w:tc>
          <w:tcPr>
            <w:tcW w:w="924" w:type="pct"/>
            <w:noWrap/>
            <w:hideMark/>
          </w:tcPr>
          <w:p w:rsidR="001320E3" w:rsidRPr="006E7BE1" w:rsidRDefault="001320E3" w:rsidP="00CA385D">
            <w:pPr>
              <w:jc w:val="left"/>
              <w:rPr>
                <w:b/>
                <w:bCs/>
              </w:rPr>
            </w:pPr>
            <w:r w:rsidRPr="006E7BE1">
              <w:rPr>
                <w:b/>
                <w:bCs/>
              </w:rPr>
              <w:t>Day4 (1 Oct)</w:t>
            </w:r>
          </w:p>
        </w:tc>
        <w:tc>
          <w:tcPr>
            <w:tcW w:w="924" w:type="pct"/>
          </w:tcPr>
          <w:p w:rsidR="001320E3" w:rsidRPr="006E7BE1" w:rsidRDefault="001320E3" w:rsidP="00CA385D">
            <w:pPr>
              <w:rPr>
                <w:b/>
                <w:bCs/>
              </w:rPr>
            </w:pPr>
            <w:r w:rsidRPr="006E7BE1">
              <w:rPr>
                <w:b/>
                <w:bCs/>
              </w:rPr>
              <w:t>Day5 (2 Oct) (optional)</w:t>
            </w:r>
          </w:p>
        </w:tc>
      </w:tr>
      <w:tr w:rsidR="001320E3" w:rsidRPr="008649C9" w:rsidTr="00CA385D">
        <w:trPr>
          <w:trHeight w:val="300"/>
        </w:trPr>
        <w:tc>
          <w:tcPr>
            <w:tcW w:w="451" w:type="pct"/>
            <w:noWrap/>
            <w:hideMark/>
          </w:tcPr>
          <w:p w:rsidR="001320E3" w:rsidRPr="008649C9" w:rsidRDefault="001320E3" w:rsidP="00CA385D">
            <w:pPr>
              <w:jc w:val="left"/>
            </w:pPr>
            <w:r w:rsidRPr="008649C9">
              <w:t>0900-1030</w:t>
            </w:r>
          </w:p>
        </w:tc>
        <w:tc>
          <w:tcPr>
            <w:tcW w:w="891" w:type="pct"/>
            <w:noWrap/>
            <w:hideMark/>
          </w:tcPr>
          <w:p w:rsidR="001320E3" w:rsidRPr="00C73782" w:rsidRDefault="001320E3" w:rsidP="00CA385D">
            <w:pPr>
              <w:jc w:val="left"/>
            </w:pPr>
            <w:r>
              <w:t xml:space="preserve">S1 </w:t>
            </w:r>
            <w:r w:rsidRPr="00C73782">
              <w:t>Introduction to course: What have been the results of re</w:t>
            </w:r>
            <w:r w:rsidR="001469A0">
              <w:t>form &amp; rationale for regulation</w:t>
            </w:r>
            <w:r w:rsidRPr="00C73782">
              <w:t xml:space="preserve"> Rohan Samarajiva (RS)</w:t>
            </w:r>
          </w:p>
        </w:tc>
        <w:tc>
          <w:tcPr>
            <w:tcW w:w="779" w:type="pct"/>
            <w:noWrap/>
            <w:hideMark/>
          </w:tcPr>
          <w:p w:rsidR="001320E3" w:rsidRPr="00C73782" w:rsidRDefault="001320E3" w:rsidP="00CA385D">
            <w:pPr>
              <w:jc w:val="left"/>
            </w:pPr>
            <w:r w:rsidRPr="00C73782">
              <w:t xml:space="preserve">S5   Regulatory legitimacy, including independence and procedural legitimacy (RS, with contributions by RK) </w:t>
            </w:r>
          </w:p>
        </w:tc>
        <w:tc>
          <w:tcPr>
            <w:tcW w:w="1030" w:type="pct"/>
            <w:noWrap/>
            <w:hideMark/>
          </w:tcPr>
          <w:p w:rsidR="001320E3" w:rsidRPr="00C73782" w:rsidRDefault="001320E3" w:rsidP="00CA385D">
            <w:pPr>
              <w:jc w:val="left"/>
            </w:pPr>
            <w:r w:rsidRPr="00C73782" w:rsidDel="00A45CCF">
              <w:t xml:space="preserve">S10  </w:t>
            </w:r>
            <w:r w:rsidRPr="00C73782">
              <w:t xml:space="preserve"> Challenges of monitoring complex license commitments</w:t>
            </w:r>
            <w:r w:rsidRPr="00C73782" w:rsidDel="00A45CCF">
              <w:t xml:space="preserve"> (HG)</w:t>
            </w:r>
          </w:p>
        </w:tc>
        <w:tc>
          <w:tcPr>
            <w:tcW w:w="924" w:type="pct"/>
            <w:noWrap/>
            <w:hideMark/>
          </w:tcPr>
          <w:p w:rsidR="001320E3" w:rsidRPr="008649C9" w:rsidRDefault="001320E3" w:rsidP="00F90E85">
            <w:pPr>
              <w:jc w:val="left"/>
            </w:pPr>
            <w:r>
              <w:t>S14 Challenges faced by nascent regulatory agencies (KS &amp; RS)</w:t>
            </w:r>
          </w:p>
        </w:tc>
        <w:tc>
          <w:tcPr>
            <w:tcW w:w="924" w:type="pct"/>
          </w:tcPr>
          <w:p w:rsidR="001320E3" w:rsidRDefault="001320E3" w:rsidP="00CA385D">
            <w:r>
              <w:t>S16 Inte</w:t>
            </w:r>
            <w:r w:rsidR="001469A0">
              <w:t>rnet governance The big picture</w:t>
            </w:r>
            <w:r>
              <w:t xml:space="preserve"> Sunil Abraham (SA)</w:t>
            </w:r>
          </w:p>
        </w:tc>
      </w:tr>
      <w:tr w:rsidR="001320E3" w:rsidRPr="008649C9" w:rsidTr="00CA385D">
        <w:trPr>
          <w:trHeight w:val="300"/>
        </w:trPr>
        <w:tc>
          <w:tcPr>
            <w:tcW w:w="451" w:type="pct"/>
            <w:noWrap/>
            <w:hideMark/>
          </w:tcPr>
          <w:p w:rsidR="001320E3" w:rsidRPr="008649C9" w:rsidRDefault="001320E3" w:rsidP="00CA385D">
            <w:pPr>
              <w:jc w:val="left"/>
            </w:pPr>
            <w:r w:rsidRPr="008649C9">
              <w:t>1030-1100</w:t>
            </w:r>
          </w:p>
        </w:tc>
        <w:tc>
          <w:tcPr>
            <w:tcW w:w="891" w:type="pct"/>
            <w:noWrap/>
            <w:hideMark/>
          </w:tcPr>
          <w:p w:rsidR="001320E3" w:rsidRPr="00C73782" w:rsidRDefault="001320E3" w:rsidP="00CA385D">
            <w:pPr>
              <w:jc w:val="left"/>
            </w:pPr>
            <w:r w:rsidRPr="00C73782">
              <w:t>Break</w:t>
            </w:r>
          </w:p>
        </w:tc>
        <w:tc>
          <w:tcPr>
            <w:tcW w:w="779" w:type="pct"/>
            <w:noWrap/>
            <w:hideMark/>
          </w:tcPr>
          <w:p w:rsidR="001320E3" w:rsidRPr="00C73782" w:rsidRDefault="001320E3" w:rsidP="00CA385D">
            <w:pPr>
              <w:jc w:val="left"/>
            </w:pPr>
            <w:r w:rsidRPr="00C73782">
              <w:t>Break</w:t>
            </w:r>
          </w:p>
        </w:tc>
        <w:tc>
          <w:tcPr>
            <w:tcW w:w="1030" w:type="pct"/>
            <w:noWrap/>
            <w:hideMark/>
          </w:tcPr>
          <w:p w:rsidR="001320E3" w:rsidRPr="00C73782" w:rsidRDefault="001320E3" w:rsidP="00CA385D">
            <w:pPr>
              <w:jc w:val="left"/>
            </w:pPr>
            <w:r w:rsidRPr="00C73782">
              <w:t>Break</w:t>
            </w:r>
          </w:p>
        </w:tc>
        <w:tc>
          <w:tcPr>
            <w:tcW w:w="924" w:type="pct"/>
            <w:noWrap/>
            <w:hideMark/>
          </w:tcPr>
          <w:p w:rsidR="001320E3" w:rsidRPr="008649C9" w:rsidRDefault="001320E3" w:rsidP="00CA385D">
            <w:pPr>
              <w:jc w:val="left"/>
            </w:pPr>
            <w:r w:rsidRPr="008649C9">
              <w:t>Break</w:t>
            </w:r>
          </w:p>
        </w:tc>
        <w:tc>
          <w:tcPr>
            <w:tcW w:w="924" w:type="pct"/>
          </w:tcPr>
          <w:p w:rsidR="001320E3" w:rsidRPr="008649C9" w:rsidRDefault="001320E3" w:rsidP="00CA385D"/>
        </w:tc>
      </w:tr>
      <w:tr w:rsidR="001320E3" w:rsidRPr="008649C9" w:rsidTr="00CA385D">
        <w:trPr>
          <w:trHeight w:val="300"/>
        </w:trPr>
        <w:tc>
          <w:tcPr>
            <w:tcW w:w="451" w:type="pct"/>
            <w:noWrap/>
            <w:hideMark/>
          </w:tcPr>
          <w:p w:rsidR="001320E3" w:rsidRPr="008649C9" w:rsidRDefault="001320E3" w:rsidP="00CA385D">
            <w:pPr>
              <w:jc w:val="left"/>
            </w:pPr>
            <w:r w:rsidRPr="008649C9">
              <w:t>1100-1200</w:t>
            </w:r>
          </w:p>
        </w:tc>
        <w:tc>
          <w:tcPr>
            <w:tcW w:w="891" w:type="pct"/>
            <w:noWrap/>
            <w:hideMark/>
          </w:tcPr>
          <w:p w:rsidR="001320E3" w:rsidRPr="00C73782" w:rsidRDefault="001320E3" w:rsidP="00CA385D">
            <w:pPr>
              <w:jc w:val="left"/>
            </w:pPr>
            <w:r w:rsidRPr="00C73782">
              <w:t>S2 Importance of demand-side research (RS)</w:t>
            </w:r>
          </w:p>
        </w:tc>
        <w:tc>
          <w:tcPr>
            <w:tcW w:w="779" w:type="pct"/>
            <w:noWrap/>
            <w:hideMark/>
          </w:tcPr>
          <w:p w:rsidR="001320E3" w:rsidRPr="00C73782" w:rsidRDefault="001320E3" w:rsidP="00CA385D">
            <w:pPr>
              <w:jc w:val="left"/>
            </w:pPr>
            <w:r w:rsidRPr="00C73782">
              <w:t xml:space="preserve">S6    Essential facilities and anti-competitive practices (RS) </w:t>
            </w:r>
          </w:p>
        </w:tc>
        <w:tc>
          <w:tcPr>
            <w:tcW w:w="1030" w:type="pct"/>
            <w:noWrap/>
            <w:hideMark/>
          </w:tcPr>
          <w:p w:rsidR="001320E3" w:rsidRPr="00C73782" w:rsidRDefault="001320E3" w:rsidP="00CA385D">
            <w:pPr>
              <w:jc w:val="left"/>
            </w:pPr>
            <w:r w:rsidRPr="00C73782">
              <w:t>S11  Quality regulation (HG</w:t>
            </w:r>
            <w:r>
              <w:t xml:space="preserve"> and NK</w:t>
            </w:r>
            <w:r w:rsidRPr="00C73782">
              <w:t>)</w:t>
            </w:r>
          </w:p>
        </w:tc>
        <w:tc>
          <w:tcPr>
            <w:tcW w:w="924" w:type="pct"/>
            <w:noWrap/>
          </w:tcPr>
          <w:p w:rsidR="001320E3" w:rsidRPr="008649C9" w:rsidRDefault="001320E3" w:rsidP="00CA385D">
            <w:pPr>
              <w:jc w:val="left"/>
            </w:pPr>
            <w:r>
              <w:t>A3</w:t>
            </w:r>
            <w:r w:rsidRPr="008649C9">
              <w:t xml:space="preserve"> Mock public heari</w:t>
            </w:r>
            <w:r w:rsidR="00F90E85">
              <w:t>ng (KS, RS and HG</w:t>
            </w:r>
            <w:r>
              <w:t>)</w:t>
            </w:r>
          </w:p>
        </w:tc>
        <w:tc>
          <w:tcPr>
            <w:tcW w:w="924" w:type="pct"/>
          </w:tcPr>
          <w:p w:rsidR="001320E3" w:rsidRDefault="001320E3" w:rsidP="00CA385D">
            <w:r>
              <w:t>S17 Economic &amp; technical interface with telecom industry (RS)</w:t>
            </w:r>
          </w:p>
        </w:tc>
      </w:tr>
      <w:tr w:rsidR="001320E3" w:rsidRPr="008649C9" w:rsidTr="00CA385D">
        <w:trPr>
          <w:trHeight w:val="300"/>
        </w:trPr>
        <w:tc>
          <w:tcPr>
            <w:tcW w:w="451" w:type="pct"/>
            <w:noWrap/>
            <w:hideMark/>
          </w:tcPr>
          <w:p w:rsidR="001320E3" w:rsidRPr="008649C9" w:rsidRDefault="001320E3" w:rsidP="00CA385D">
            <w:pPr>
              <w:jc w:val="left"/>
            </w:pPr>
            <w:r w:rsidRPr="008649C9">
              <w:t>1200-1300</w:t>
            </w:r>
          </w:p>
        </w:tc>
        <w:tc>
          <w:tcPr>
            <w:tcW w:w="891" w:type="pct"/>
            <w:noWrap/>
            <w:hideMark/>
          </w:tcPr>
          <w:p w:rsidR="001320E3" w:rsidRPr="00C73782" w:rsidRDefault="001320E3" w:rsidP="00CA385D">
            <w:pPr>
              <w:jc w:val="left"/>
            </w:pPr>
            <w:r w:rsidRPr="00C73782">
              <w:t xml:space="preserve">S3 Finding information on the web.  </w:t>
            </w:r>
            <w:proofErr w:type="spellStart"/>
            <w:r>
              <w:t>Nilusha</w:t>
            </w:r>
            <w:proofErr w:type="spellEnd"/>
            <w:r>
              <w:t xml:space="preserve"> </w:t>
            </w:r>
            <w:proofErr w:type="spellStart"/>
            <w:r>
              <w:t>Kapugama</w:t>
            </w:r>
            <w:proofErr w:type="spellEnd"/>
            <w:r>
              <w:t xml:space="preserve"> (NK</w:t>
            </w:r>
            <w:r w:rsidRPr="00C73782">
              <w:t>)</w:t>
            </w:r>
          </w:p>
        </w:tc>
        <w:tc>
          <w:tcPr>
            <w:tcW w:w="779" w:type="pct"/>
            <w:noWrap/>
            <w:hideMark/>
          </w:tcPr>
          <w:p w:rsidR="001320E3" w:rsidRPr="00C73782" w:rsidRDefault="001320E3" w:rsidP="00CA385D">
            <w:pPr>
              <w:jc w:val="left"/>
            </w:pPr>
            <w:r w:rsidRPr="00C73782">
              <w:t xml:space="preserve">S7  How policy and regulatory processes work (panel discussion: </w:t>
            </w:r>
            <w:proofErr w:type="spellStart"/>
            <w:r w:rsidRPr="00C73782">
              <w:t>Koesmarihati</w:t>
            </w:r>
            <w:proofErr w:type="spellEnd"/>
            <w:r w:rsidRPr="00C73782">
              <w:t xml:space="preserve"> </w:t>
            </w:r>
            <w:proofErr w:type="spellStart"/>
            <w:r w:rsidRPr="00C73782">
              <w:t>Sugondo</w:t>
            </w:r>
            <w:proofErr w:type="spellEnd"/>
            <w:r w:rsidRPr="00C73782">
              <w:t xml:space="preserve"> KS and RK moderated by RS)</w:t>
            </w:r>
          </w:p>
        </w:tc>
        <w:tc>
          <w:tcPr>
            <w:tcW w:w="1030" w:type="pct"/>
            <w:noWrap/>
          </w:tcPr>
          <w:p w:rsidR="001320E3" w:rsidRPr="00C73782" w:rsidRDefault="001320E3" w:rsidP="00CA385D">
            <w:pPr>
              <w:jc w:val="left"/>
            </w:pPr>
            <w:r w:rsidRPr="00C73782">
              <w:t>S12 Presenting evidence in slides &amp; written submissions (HG)</w:t>
            </w:r>
          </w:p>
        </w:tc>
        <w:tc>
          <w:tcPr>
            <w:tcW w:w="924" w:type="pct"/>
            <w:noWrap/>
            <w:hideMark/>
          </w:tcPr>
          <w:p w:rsidR="001320E3" w:rsidRPr="008649C9" w:rsidRDefault="001320E3" w:rsidP="00CA385D">
            <w:pPr>
              <w:jc w:val="left"/>
            </w:pPr>
            <w:r>
              <w:t>A4</w:t>
            </w:r>
            <w:r w:rsidRPr="008649C9">
              <w:t xml:space="preserve"> Mock public hearing &amp; critique</w:t>
            </w:r>
            <w:r>
              <w:t xml:space="preserve"> </w:t>
            </w:r>
            <w:r w:rsidR="00F90E85">
              <w:t>(KS, RS and HG)</w:t>
            </w:r>
          </w:p>
        </w:tc>
        <w:tc>
          <w:tcPr>
            <w:tcW w:w="924" w:type="pct"/>
          </w:tcPr>
          <w:p w:rsidR="001320E3" w:rsidRDefault="001320E3" w:rsidP="00CA385D">
            <w:r>
              <w:t>S18 How Internet is governed within India (SA)</w:t>
            </w:r>
          </w:p>
        </w:tc>
      </w:tr>
      <w:tr w:rsidR="001320E3" w:rsidRPr="008649C9" w:rsidTr="00CA385D">
        <w:trPr>
          <w:trHeight w:val="300"/>
        </w:trPr>
        <w:tc>
          <w:tcPr>
            <w:tcW w:w="451" w:type="pct"/>
            <w:noWrap/>
            <w:hideMark/>
          </w:tcPr>
          <w:p w:rsidR="001320E3" w:rsidRPr="008649C9" w:rsidRDefault="001320E3" w:rsidP="00CA385D">
            <w:pPr>
              <w:jc w:val="left"/>
            </w:pPr>
            <w:r w:rsidRPr="008649C9">
              <w:t>1300-1400</w:t>
            </w:r>
          </w:p>
        </w:tc>
        <w:tc>
          <w:tcPr>
            <w:tcW w:w="891" w:type="pct"/>
            <w:noWrap/>
            <w:hideMark/>
          </w:tcPr>
          <w:p w:rsidR="001320E3" w:rsidRPr="00C73782" w:rsidRDefault="001320E3" w:rsidP="00CA385D">
            <w:pPr>
              <w:jc w:val="left"/>
            </w:pPr>
            <w:r w:rsidRPr="00C73782">
              <w:t>Lunch</w:t>
            </w:r>
          </w:p>
        </w:tc>
        <w:tc>
          <w:tcPr>
            <w:tcW w:w="779" w:type="pct"/>
            <w:noWrap/>
            <w:hideMark/>
          </w:tcPr>
          <w:p w:rsidR="001320E3" w:rsidRPr="00C73782" w:rsidRDefault="001320E3" w:rsidP="00CA385D">
            <w:pPr>
              <w:jc w:val="left"/>
            </w:pPr>
            <w:r w:rsidRPr="00C73782">
              <w:t>Lunch</w:t>
            </w:r>
          </w:p>
        </w:tc>
        <w:tc>
          <w:tcPr>
            <w:tcW w:w="1030" w:type="pct"/>
            <w:noWrap/>
            <w:hideMark/>
          </w:tcPr>
          <w:p w:rsidR="001320E3" w:rsidRPr="00C73782" w:rsidRDefault="001320E3" w:rsidP="00CA385D">
            <w:pPr>
              <w:jc w:val="left"/>
            </w:pPr>
            <w:r w:rsidRPr="00C73782">
              <w:t>Lunch</w:t>
            </w:r>
          </w:p>
        </w:tc>
        <w:tc>
          <w:tcPr>
            <w:tcW w:w="924" w:type="pct"/>
            <w:noWrap/>
            <w:hideMark/>
          </w:tcPr>
          <w:p w:rsidR="001320E3" w:rsidRPr="008649C9" w:rsidRDefault="001320E3" w:rsidP="00CA385D">
            <w:pPr>
              <w:jc w:val="left"/>
            </w:pPr>
            <w:r w:rsidRPr="008649C9">
              <w:t>Lunch</w:t>
            </w:r>
          </w:p>
        </w:tc>
        <w:tc>
          <w:tcPr>
            <w:tcW w:w="924" w:type="pct"/>
          </w:tcPr>
          <w:p w:rsidR="001320E3" w:rsidRPr="008649C9" w:rsidRDefault="001469A0" w:rsidP="00CA385D">
            <w:r>
              <w:t>Lunch</w:t>
            </w:r>
          </w:p>
        </w:tc>
      </w:tr>
      <w:tr w:rsidR="001320E3" w:rsidRPr="008649C9" w:rsidTr="00CA385D">
        <w:trPr>
          <w:trHeight w:val="300"/>
        </w:trPr>
        <w:tc>
          <w:tcPr>
            <w:tcW w:w="451" w:type="pct"/>
            <w:noWrap/>
            <w:hideMark/>
          </w:tcPr>
          <w:p w:rsidR="001320E3" w:rsidRPr="008649C9" w:rsidRDefault="001320E3" w:rsidP="00CA385D">
            <w:pPr>
              <w:jc w:val="left"/>
            </w:pPr>
            <w:r w:rsidRPr="008649C9">
              <w:t>1400-1500</w:t>
            </w:r>
          </w:p>
        </w:tc>
        <w:tc>
          <w:tcPr>
            <w:tcW w:w="891" w:type="pct"/>
            <w:noWrap/>
            <w:hideMark/>
          </w:tcPr>
          <w:p w:rsidR="001320E3" w:rsidRPr="00C73782" w:rsidRDefault="001320E3" w:rsidP="00CA385D">
            <w:pPr>
              <w:jc w:val="left"/>
            </w:pPr>
            <w:r w:rsidRPr="00C73782">
              <w:t xml:space="preserve">A1 Group formation; Assignment explained  </w:t>
            </w:r>
            <w:proofErr w:type="spellStart"/>
            <w:r w:rsidRPr="00C73782">
              <w:t>Helani</w:t>
            </w:r>
            <w:proofErr w:type="spellEnd"/>
            <w:r w:rsidRPr="00C73782">
              <w:t xml:space="preserve"> </w:t>
            </w:r>
            <w:proofErr w:type="spellStart"/>
            <w:r w:rsidRPr="00C73782">
              <w:t>Galpaya</w:t>
            </w:r>
            <w:proofErr w:type="spellEnd"/>
            <w:r w:rsidRPr="00C73782">
              <w:t xml:space="preserve"> (HG</w:t>
            </w:r>
            <w:r>
              <w:t xml:space="preserve"> and NK</w:t>
            </w:r>
            <w:r w:rsidRPr="00C73782">
              <w:t>)</w:t>
            </w:r>
          </w:p>
        </w:tc>
        <w:tc>
          <w:tcPr>
            <w:tcW w:w="779" w:type="pct"/>
            <w:noWrap/>
            <w:hideMark/>
          </w:tcPr>
          <w:p w:rsidR="001320E3" w:rsidRPr="00C73782" w:rsidRDefault="001320E3" w:rsidP="00CA385D">
            <w:pPr>
              <w:jc w:val="left"/>
            </w:pPr>
            <w:r w:rsidRPr="00C73782">
              <w:t xml:space="preserve">S8    Current status of telecom law and policy in Myanmar (RS) </w:t>
            </w:r>
          </w:p>
        </w:tc>
        <w:tc>
          <w:tcPr>
            <w:tcW w:w="1030" w:type="pct"/>
            <w:noWrap/>
            <w:hideMark/>
          </w:tcPr>
          <w:p w:rsidR="001320E3" w:rsidRPr="00C73782" w:rsidRDefault="001320E3" w:rsidP="00CA385D">
            <w:pPr>
              <w:jc w:val="left"/>
            </w:pPr>
            <w:r w:rsidRPr="00C73782">
              <w:t xml:space="preserve"> A2  Midpoint check on assignment/group work (HG and RLG)</w:t>
            </w:r>
          </w:p>
        </w:tc>
        <w:tc>
          <w:tcPr>
            <w:tcW w:w="924" w:type="pct"/>
            <w:noWrap/>
            <w:hideMark/>
          </w:tcPr>
          <w:p w:rsidR="001320E3" w:rsidRDefault="001320E3" w:rsidP="00CA385D">
            <w:pPr>
              <w:jc w:val="left"/>
            </w:pPr>
            <w:r>
              <w:t xml:space="preserve">What next?  </w:t>
            </w:r>
          </w:p>
          <w:p w:rsidR="001320E3" w:rsidRPr="008649C9" w:rsidRDefault="001320E3" w:rsidP="00CA385D">
            <w:pPr>
              <w:jc w:val="left"/>
            </w:pPr>
          </w:p>
        </w:tc>
        <w:tc>
          <w:tcPr>
            <w:tcW w:w="924" w:type="pct"/>
          </w:tcPr>
          <w:p w:rsidR="001320E3" w:rsidRDefault="001320E3" w:rsidP="00CA385D">
            <w:r>
              <w:t>S19  Surveillance &amp; privacy (RS</w:t>
            </w:r>
            <w:r w:rsidR="00F90E85">
              <w:t xml:space="preserve"> &amp; SA</w:t>
            </w:r>
            <w:r>
              <w:t>)</w:t>
            </w:r>
          </w:p>
        </w:tc>
      </w:tr>
      <w:tr w:rsidR="001320E3" w:rsidRPr="008649C9" w:rsidTr="00CA385D">
        <w:trPr>
          <w:trHeight w:val="300"/>
        </w:trPr>
        <w:tc>
          <w:tcPr>
            <w:tcW w:w="451" w:type="pct"/>
            <w:noWrap/>
            <w:hideMark/>
          </w:tcPr>
          <w:p w:rsidR="001320E3" w:rsidRPr="008649C9" w:rsidRDefault="001320E3" w:rsidP="00CA385D">
            <w:pPr>
              <w:jc w:val="left"/>
            </w:pPr>
            <w:r w:rsidRPr="008649C9">
              <w:t>1500-1530</w:t>
            </w:r>
          </w:p>
        </w:tc>
        <w:tc>
          <w:tcPr>
            <w:tcW w:w="891" w:type="pct"/>
            <w:noWrap/>
            <w:hideMark/>
          </w:tcPr>
          <w:p w:rsidR="001320E3" w:rsidRPr="00C73782" w:rsidRDefault="001320E3" w:rsidP="00CA385D">
            <w:pPr>
              <w:jc w:val="left"/>
            </w:pPr>
            <w:r w:rsidRPr="00C73782">
              <w:t>Break</w:t>
            </w:r>
          </w:p>
        </w:tc>
        <w:tc>
          <w:tcPr>
            <w:tcW w:w="779" w:type="pct"/>
            <w:noWrap/>
            <w:hideMark/>
          </w:tcPr>
          <w:p w:rsidR="001320E3" w:rsidRPr="00C73782" w:rsidRDefault="001320E3" w:rsidP="00CA385D">
            <w:pPr>
              <w:jc w:val="left"/>
            </w:pPr>
            <w:r w:rsidRPr="00C73782">
              <w:t>Break</w:t>
            </w:r>
          </w:p>
        </w:tc>
        <w:tc>
          <w:tcPr>
            <w:tcW w:w="1030" w:type="pct"/>
            <w:noWrap/>
            <w:hideMark/>
          </w:tcPr>
          <w:p w:rsidR="001320E3" w:rsidRPr="00C73782" w:rsidRDefault="001320E3" w:rsidP="00CA385D">
            <w:pPr>
              <w:jc w:val="left"/>
            </w:pPr>
            <w:r w:rsidRPr="00C73782">
              <w:t>Break</w:t>
            </w:r>
          </w:p>
        </w:tc>
        <w:tc>
          <w:tcPr>
            <w:tcW w:w="924" w:type="pct"/>
            <w:noWrap/>
            <w:hideMark/>
          </w:tcPr>
          <w:p w:rsidR="001320E3" w:rsidRPr="008649C9" w:rsidRDefault="001469A0" w:rsidP="00CA385D">
            <w:pPr>
              <w:jc w:val="left"/>
            </w:pPr>
            <w:r>
              <w:t>Break</w:t>
            </w:r>
          </w:p>
        </w:tc>
        <w:tc>
          <w:tcPr>
            <w:tcW w:w="924" w:type="pct"/>
          </w:tcPr>
          <w:p w:rsidR="001320E3" w:rsidRPr="008649C9" w:rsidRDefault="001469A0" w:rsidP="00CA385D">
            <w:r>
              <w:t>Break</w:t>
            </w:r>
          </w:p>
        </w:tc>
      </w:tr>
      <w:tr w:rsidR="001320E3" w:rsidRPr="008649C9" w:rsidTr="00CA385D">
        <w:trPr>
          <w:trHeight w:val="300"/>
        </w:trPr>
        <w:tc>
          <w:tcPr>
            <w:tcW w:w="451" w:type="pct"/>
            <w:noWrap/>
            <w:hideMark/>
          </w:tcPr>
          <w:p w:rsidR="001320E3" w:rsidRPr="008649C9" w:rsidRDefault="001320E3" w:rsidP="00CA385D">
            <w:pPr>
              <w:jc w:val="left"/>
            </w:pPr>
            <w:r w:rsidRPr="008649C9">
              <w:t>1530-1700</w:t>
            </w:r>
          </w:p>
        </w:tc>
        <w:tc>
          <w:tcPr>
            <w:tcW w:w="891" w:type="pct"/>
            <w:noWrap/>
            <w:hideMark/>
          </w:tcPr>
          <w:p w:rsidR="001320E3" w:rsidRPr="00C73782" w:rsidRDefault="001320E3" w:rsidP="00CA385D">
            <w:pPr>
              <w:jc w:val="left"/>
            </w:pPr>
            <w:r w:rsidRPr="00C73782">
              <w:t>S4  Licensing and authorization (RS)</w:t>
            </w:r>
          </w:p>
        </w:tc>
        <w:tc>
          <w:tcPr>
            <w:tcW w:w="779" w:type="pct"/>
            <w:noWrap/>
            <w:hideMark/>
          </w:tcPr>
          <w:p w:rsidR="001320E3" w:rsidRPr="00C73782" w:rsidRDefault="001320E3" w:rsidP="00CA385D">
            <w:pPr>
              <w:jc w:val="left"/>
            </w:pPr>
            <w:r w:rsidRPr="00C73782">
              <w:t>S9 Price regulation (RS)</w:t>
            </w:r>
          </w:p>
        </w:tc>
        <w:tc>
          <w:tcPr>
            <w:tcW w:w="1030" w:type="pct"/>
            <w:noWrap/>
            <w:hideMark/>
          </w:tcPr>
          <w:p w:rsidR="001320E3" w:rsidRPr="00C73782" w:rsidRDefault="001320E3" w:rsidP="00CA385D">
            <w:pPr>
              <w:jc w:val="left"/>
            </w:pPr>
            <w:r w:rsidRPr="00C73782">
              <w:t>S13 Universal service subsidies: Theory &amp; practice (HG &amp; KS)</w:t>
            </w:r>
          </w:p>
        </w:tc>
        <w:tc>
          <w:tcPr>
            <w:tcW w:w="924" w:type="pct"/>
            <w:noWrap/>
            <w:hideMark/>
          </w:tcPr>
          <w:p w:rsidR="001320E3" w:rsidRPr="008649C9" w:rsidRDefault="001320E3" w:rsidP="00CA385D">
            <w:r>
              <w:t>Outing</w:t>
            </w:r>
          </w:p>
        </w:tc>
        <w:tc>
          <w:tcPr>
            <w:tcW w:w="924" w:type="pct"/>
          </w:tcPr>
          <w:p w:rsidR="001320E3" w:rsidRDefault="001320E3" w:rsidP="00CA385D">
            <w:r>
              <w:t>S20  Content regulation (SA)</w:t>
            </w:r>
          </w:p>
        </w:tc>
      </w:tr>
      <w:tr w:rsidR="001320E3" w:rsidRPr="008649C9" w:rsidTr="00CA385D">
        <w:trPr>
          <w:trHeight w:val="300"/>
        </w:trPr>
        <w:tc>
          <w:tcPr>
            <w:tcW w:w="451" w:type="pct"/>
            <w:noWrap/>
            <w:hideMark/>
          </w:tcPr>
          <w:p w:rsidR="001320E3" w:rsidRPr="008649C9" w:rsidRDefault="001320E3" w:rsidP="00CA385D">
            <w:pPr>
              <w:jc w:val="left"/>
            </w:pPr>
            <w:r w:rsidRPr="008649C9">
              <w:t>1700-</w:t>
            </w:r>
          </w:p>
        </w:tc>
        <w:tc>
          <w:tcPr>
            <w:tcW w:w="891" w:type="pct"/>
            <w:noWrap/>
            <w:hideMark/>
          </w:tcPr>
          <w:p w:rsidR="001320E3" w:rsidRPr="008649C9" w:rsidRDefault="001320E3" w:rsidP="00CA385D">
            <w:pPr>
              <w:jc w:val="left"/>
            </w:pPr>
            <w:r>
              <w:t>Group work</w:t>
            </w:r>
          </w:p>
        </w:tc>
        <w:tc>
          <w:tcPr>
            <w:tcW w:w="779" w:type="pct"/>
            <w:noWrap/>
            <w:hideMark/>
          </w:tcPr>
          <w:p w:rsidR="001320E3" w:rsidRPr="008649C9" w:rsidRDefault="001320E3" w:rsidP="00CA385D">
            <w:pPr>
              <w:jc w:val="left"/>
            </w:pPr>
            <w:r w:rsidRPr="008649C9">
              <w:t>Group work</w:t>
            </w:r>
          </w:p>
        </w:tc>
        <w:tc>
          <w:tcPr>
            <w:tcW w:w="1030" w:type="pct"/>
            <w:noWrap/>
            <w:hideMark/>
          </w:tcPr>
          <w:p w:rsidR="001320E3" w:rsidRPr="008649C9" w:rsidRDefault="001320E3" w:rsidP="00CA385D">
            <w:pPr>
              <w:jc w:val="left"/>
            </w:pPr>
            <w:r w:rsidRPr="008649C9">
              <w:t>Group work</w:t>
            </w:r>
          </w:p>
        </w:tc>
        <w:tc>
          <w:tcPr>
            <w:tcW w:w="924" w:type="pct"/>
            <w:noWrap/>
            <w:hideMark/>
          </w:tcPr>
          <w:p w:rsidR="001320E3" w:rsidRPr="008649C9" w:rsidRDefault="001320E3" w:rsidP="00CA385D">
            <w:pPr>
              <w:jc w:val="left"/>
            </w:pPr>
          </w:p>
        </w:tc>
        <w:tc>
          <w:tcPr>
            <w:tcW w:w="924" w:type="pct"/>
          </w:tcPr>
          <w:p w:rsidR="001320E3" w:rsidRPr="008649C9" w:rsidRDefault="001320E3" w:rsidP="00CA385D"/>
        </w:tc>
      </w:tr>
      <w:tr w:rsidR="001320E3" w:rsidRPr="008649C9" w:rsidTr="00CA385D">
        <w:trPr>
          <w:trHeight w:val="300"/>
        </w:trPr>
        <w:tc>
          <w:tcPr>
            <w:tcW w:w="451" w:type="pct"/>
            <w:noWrap/>
          </w:tcPr>
          <w:p w:rsidR="001320E3" w:rsidRPr="008649C9" w:rsidRDefault="001320E3" w:rsidP="00CA385D">
            <w:r>
              <w:lastRenderedPageBreak/>
              <w:t>1900</w:t>
            </w:r>
          </w:p>
        </w:tc>
        <w:tc>
          <w:tcPr>
            <w:tcW w:w="891" w:type="pct"/>
            <w:noWrap/>
          </w:tcPr>
          <w:p w:rsidR="001320E3" w:rsidRDefault="001320E3" w:rsidP="00CA385D">
            <w:pPr>
              <w:jc w:val="left"/>
            </w:pPr>
            <w:r>
              <w:t xml:space="preserve">Welcome dinner preceded by speaker: </w:t>
            </w:r>
            <w:proofErr w:type="spellStart"/>
            <w:r>
              <w:t>Rajat</w:t>
            </w:r>
            <w:proofErr w:type="spellEnd"/>
            <w:r>
              <w:t xml:space="preserve"> </w:t>
            </w:r>
            <w:proofErr w:type="spellStart"/>
            <w:r>
              <w:t>Kathuria</w:t>
            </w:r>
            <w:proofErr w:type="spellEnd"/>
            <w:r>
              <w:t xml:space="preserve"> (RK),  Director &amp; Chief Executive, </w:t>
            </w:r>
            <w:r w:rsidRPr="006E7BE1">
              <w:t>Indian Council for Research on International Economic Relations (ICRIER)</w:t>
            </w:r>
          </w:p>
          <w:p w:rsidR="001320E3" w:rsidRDefault="001320E3" w:rsidP="00CA385D"/>
          <w:p w:rsidR="001320E3" w:rsidRDefault="001320E3" w:rsidP="00CA385D"/>
          <w:p w:rsidR="001320E3" w:rsidRDefault="001320E3" w:rsidP="00CA385D"/>
        </w:tc>
        <w:tc>
          <w:tcPr>
            <w:tcW w:w="779" w:type="pct"/>
            <w:noWrap/>
          </w:tcPr>
          <w:p w:rsidR="001320E3" w:rsidRPr="008649C9" w:rsidRDefault="001320E3" w:rsidP="00CA385D"/>
        </w:tc>
        <w:tc>
          <w:tcPr>
            <w:tcW w:w="1030" w:type="pct"/>
            <w:noWrap/>
          </w:tcPr>
          <w:p w:rsidR="001320E3" w:rsidRPr="008649C9" w:rsidRDefault="001320E3" w:rsidP="00CA385D"/>
        </w:tc>
        <w:tc>
          <w:tcPr>
            <w:tcW w:w="924" w:type="pct"/>
            <w:noWrap/>
          </w:tcPr>
          <w:p w:rsidR="001320E3" w:rsidRPr="008649C9" w:rsidRDefault="001320E3" w:rsidP="00CA385D"/>
        </w:tc>
        <w:tc>
          <w:tcPr>
            <w:tcW w:w="924" w:type="pct"/>
          </w:tcPr>
          <w:p w:rsidR="001320E3" w:rsidRPr="008649C9" w:rsidRDefault="001320E3" w:rsidP="00CA385D"/>
        </w:tc>
      </w:tr>
    </w:tbl>
    <w:p w:rsidR="001320E3" w:rsidRDefault="001320E3" w:rsidP="001320E3"/>
    <w:p w:rsidR="001320E3" w:rsidRDefault="001320E3" w:rsidP="001320E3">
      <w:pPr>
        <w:pStyle w:val="Heading1"/>
        <w:numPr>
          <w:ilvl w:val="0"/>
          <w:numId w:val="10"/>
        </w:numPr>
        <w:spacing w:after="120"/>
      </w:pPr>
      <w:r w:rsidRPr="00B4617C">
        <w:t>Faculty</w:t>
      </w:r>
    </w:p>
    <w:p w:rsidR="001320E3" w:rsidRDefault="001320E3" w:rsidP="001320E3">
      <w:pPr>
        <w:spacing w:line="23" w:lineRule="atLeast"/>
        <w:jc w:val="both"/>
        <w:rPr>
          <w:rFonts w:cs="Arial"/>
          <w:b/>
          <w:bCs/>
          <w:szCs w:val="20"/>
        </w:rPr>
      </w:pPr>
      <w:r>
        <w:rPr>
          <w:rFonts w:cs="Arial"/>
          <w:b/>
          <w:bCs/>
          <w:szCs w:val="20"/>
        </w:rPr>
        <w:t xml:space="preserve">Rohan Samarajiva, PhD, (course director) </w:t>
      </w:r>
      <w:r w:rsidRPr="0035098E">
        <w:rPr>
          <w:rFonts w:cs="Arial"/>
          <w:szCs w:val="20"/>
        </w:rPr>
        <w:t xml:space="preserve">is founding Chair of LIRNEasia, an ICT policy and regulation think tank active across emerging Asian and Pacific economies.  He was Team Leader at the Sri Lanka Ministry for Economic Reform, Science and Technology (2002-04) responsible for infrastructure reforms, including participation in the design of the USD 83 million e-Sri Lanka Initiative.  He was Director General of Telecommunications in Sri Lanka (1998-99).  In this capacity, he established the Telecom Regulatory Commission of Sri Lanka; conducted the first public hearing and public notice proceedings; successfully concluded a license-violation proceeding; and laid the foundation for a competitive market.   He was also a founder director of the ICT Agency of Sri Lanka (2003-05), Honorary Professor at the University of </w:t>
      </w:r>
      <w:proofErr w:type="spellStart"/>
      <w:r w:rsidRPr="0035098E">
        <w:rPr>
          <w:rFonts w:cs="Arial"/>
          <w:szCs w:val="20"/>
        </w:rPr>
        <w:t>Moratuwa</w:t>
      </w:r>
      <w:proofErr w:type="spellEnd"/>
      <w:r w:rsidRPr="0035098E">
        <w:rPr>
          <w:rFonts w:cs="Arial"/>
          <w:szCs w:val="20"/>
        </w:rPr>
        <w:t xml:space="preserve"> in Sri Lanka (2003-04), Visiting Professor of Economics of Infrastructures at the Delft University of Technology in the Netherlands (2000-03) and Associate Professor of Communication and Public Policy at the Ohio State University in the US (1987-2000).  Dr. Samarajiva was also Policy Advisor to the Ministry of Post and Telecom in Bangladesh (2007-09).</w:t>
      </w:r>
    </w:p>
    <w:p w:rsidR="001320E3" w:rsidRPr="00D46675" w:rsidRDefault="001320E3" w:rsidP="001320E3">
      <w:pPr>
        <w:spacing w:line="23" w:lineRule="atLeast"/>
        <w:jc w:val="both"/>
        <w:rPr>
          <w:rFonts w:cs="Arial"/>
          <w:szCs w:val="20"/>
        </w:rPr>
      </w:pPr>
      <w:r w:rsidRPr="00D46675">
        <w:rPr>
          <w:rFonts w:cs="Arial"/>
          <w:b/>
          <w:bCs/>
          <w:szCs w:val="20"/>
        </w:rPr>
        <w:t xml:space="preserve">Sunil Abraham </w:t>
      </w:r>
      <w:r w:rsidRPr="00D46675">
        <w:rPr>
          <w:rFonts w:cs="Arial"/>
          <w:szCs w:val="20"/>
        </w:rPr>
        <w:t xml:space="preserve">is the Executive Director of </w:t>
      </w:r>
      <w:r>
        <w:rPr>
          <w:rFonts w:cs="Arial"/>
          <w:szCs w:val="20"/>
        </w:rPr>
        <w:t>Bangalore based research organiz</w:t>
      </w:r>
      <w:r w:rsidRPr="00D46675">
        <w:rPr>
          <w:rFonts w:cs="Arial"/>
          <w:szCs w:val="20"/>
        </w:rPr>
        <w:t xml:space="preserve">ation, the Centre for Internet and Society. He founded </w:t>
      </w:r>
      <w:proofErr w:type="spellStart"/>
      <w:r w:rsidRPr="00D46675">
        <w:rPr>
          <w:rFonts w:cs="Arial"/>
          <w:szCs w:val="20"/>
        </w:rPr>
        <w:t>Mahiti</w:t>
      </w:r>
      <w:proofErr w:type="spellEnd"/>
      <w:r w:rsidRPr="00D46675">
        <w:rPr>
          <w:rFonts w:cs="Arial"/>
          <w:szCs w:val="20"/>
        </w:rPr>
        <w:t xml:space="preserve"> in 1998, a company committed to creating high impact technology and communications solutions. Today, </w:t>
      </w:r>
      <w:proofErr w:type="spellStart"/>
      <w:r w:rsidRPr="00D46675">
        <w:rPr>
          <w:rFonts w:cs="Arial"/>
          <w:szCs w:val="20"/>
        </w:rPr>
        <w:t>Mahiti</w:t>
      </w:r>
      <w:proofErr w:type="spellEnd"/>
      <w:r w:rsidRPr="00D46675">
        <w:rPr>
          <w:rFonts w:cs="Arial"/>
          <w:szCs w:val="20"/>
        </w:rPr>
        <w:t xml:space="preserve"> employs more than 50 engineers. Sunil continues to serve on the board. Sunil was elected an </w:t>
      </w:r>
      <w:proofErr w:type="spellStart"/>
      <w:r w:rsidRPr="00D46675">
        <w:rPr>
          <w:rFonts w:cs="Arial"/>
          <w:szCs w:val="20"/>
        </w:rPr>
        <w:t>Ashoka</w:t>
      </w:r>
      <w:proofErr w:type="spellEnd"/>
      <w:r w:rsidRPr="00D46675">
        <w:rPr>
          <w:rFonts w:cs="Arial"/>
          <w:szCs w:val="20"/>
        </w:rPr>
        <w:t xml:space="preserve"> fellow in 1999 to 'explore the democratic potential of the Internet' and was also granted a </w:t>
      </w:r>
      <w:proofErr w:type="spellStart"/>
      <w:r w:rsidRPr="00D46675">
        <w:rPr>
          <w:rFonts w:cs="Arial"/>
          <w:szCs w:val="20"/>
        </w:rPr>
        <w:t>Sarai</w:t>
      </w:r>
      <w:proofErr w:type="spellEnd"/>
      <w:r w:rsidRPr="00D46675">
        <w:rPr>
          <w:rFonts w:cs="Arial"/>
          <w:szCs w:val="20"/>
        </w:rPr>
        <w:t xml:space="preserve"> FLOSS fellowship in 2003. Between June 2004 and June 2007, Sunil also managed the International Open Source Network, a project of United Nations Development </w:t>
      </w:r>
      <w:proofErr w:type="spellStart"/>
      <w:r w:rsidRPr="00D46675">
        <w:rPr>
          <w:rFonts w:cs="Arial"/>
          <w:szCs w:val="20"/>
        </w:rPr>
        <w:t>Programme's</w:t>
      </w:r>
      <w:proofErr w:type="spellEnd"/>
      <w:r w:rsidRPr="00D46675">
        <w:rPr>
          <w:rFonts w:cs="Arial"/>
          <w:szCs w:val="20"/>
        </w:rPr>
        <w:t xml:space="preserve"> Asia-Pacific Development Information </w:t>
      </w:r>
      <w:proofErr w:type="spellStart"/>
      <w:r w:rsidRPr="00D46675">
        <w:rPr>
          <w:rFonts w:cs="Arial"/>
          <w:szCs w:val="20"/>
        </w:rPr>
        <w:t>Programme</w:t>
      </w:r>
      <w:proofErr w:type="spellEnd"/>
      <w:r w:rsidRPr="00D46675">
        <w:rPr>
          <w:rFonts w:cs="Arial"/>
          <w:szCs w:val="20"/>
        </w:rPr>
        <w:t xml:space="preserve"> serving 42 countries in the Asia-Pacific region.</w:t>
      </w:r>
    </w:p>
    <w:p w:rsidR="001320E3" w:rsidRDefault="001320E3" w:rsidP="001320E3">
      <w:pPr>
        <w:rPr>
          <w:rFonts w:cs="Arial"/>
          <w:b/>
          <w:bCs/>
          <w:szCs w:val="20"/>
        </w:rPr>
      </w:pPr>
      <w:r>
        <w:rPr>
          <w:rFonts w:cs="Arial"/>
          <w:b/>
          <w:bCs/>
          <w:szCs w:val="20"/>
        </w:rPr>
        <w:br w:type="page"/>
      </w:r>
    </w:p>
    <w:p w:rsidR="001320E3" w:rsidRPr="00D46675" w:rsidRDefault="001320E3" w:rsidP="001320E3">
      <w:pPr>
        <w:spacing w:line="23" w:lineRule="atLeast"/>
        <w:jc w:val="both"/>
        <w:rPr>
          <w:rFonts w:cs="Arial"/>
          <w:szCs w:val="20"/>
        </w:rPr>
      </w:pPr>
      <w:proofErr w:type="spellStart"/>
      <w:r w:rsidRPr="00D46675">
        <w:rPr>
          <w:rFonts w:cs="Arial"/>
          <w:b/>
          <w:bCs/>
          <w:szCs w:val="20"/>
        </w:rPr>
        <w:lastRenderedPageBreak/>
        <w:t>Helani</w:t>
      </w:r>
      <w:proofErr w:type="spellEnd"/>
      <w:r w:rsidRPr="00D46675">
        <w:rPr>
          <w:rFonts w:cs="Arial"/>
          <w:b/>
          <w:bCs/>
          <w:szCs w:val="20"/>
        </w:rPr>
        <w:t xml:space="preserve"> </w:t>
      </w:r>
      <w:proofErr w:type="spellStart"/>
      <w:r w:rsidRPr="00D46675">
        <w:rPr>
          <w:rFonts w:cs="Arial"/>
          <w:b/>
          <w:bCs/>
          <w:szCs w:val="20"/>
        </w:rPr>
        <w:t>Galpaya</w:t>
      </w:r>
      <w:proofErr w:type="spellEnd"/>
      <w:r w:rsidRPr="00D46675">
        <w:rPr>
          <w:rFonts w:cs="Arial"/>
          <w:szCs w:val="20"/>
        </w:rPr>
        <w:t xml:space="preserve"> is </w:t>
      </w:r>
      <w:proofErr w:type="spellStart"/>
      <w:r w:rsidRPr="00D46675">
        <w:rPr>
          <w:rFonts w:cs="Arial"/>
          <w:szCs w:val="20"/>
        </w:rPr>
        <w:t>LIRNEasia’s</w:t>
      </w:r>
      <w:proofErr w:type="spellEnd"/>
      <w:r w:rsidRPr="00D46675">
        <w:rPr>
          <w:rFonts w:cs="Arial"/>
          <w:szCs w:val="20"/>
        </w:rPr>
        <w:t xml:space="preserve"> Chief Executive Officer. </w:t>
      </w:r>
      <w:r>
        <w:rPr>
          <w:rFonts w:cs="Arial"/>
          <w:szCs w:val="20"/>
        </w:rPr>
        <w:t xml:space="preserve"> </w:t>
      </w:r>
      <w:proofErr w:type="spellStart"/>
      <w:r w:rsidRPr="00D46675">
        <w:rPr>
          <w:rFonts w:cs="Arial"/>
          <w:szCs w:val="20"/>
        </w:rPr>
        <w:t>Helani</w:t>
      </w:r>
      <w:proofErr w:type="spellEnd"/>
      <w:r w:rsidRPr="00D46675">
        <w:rPr>
          <w:rFonts w:cs="Arial"/>
          <w:szCs w:val="20"/>
        </w:rPr>
        <w:t xml:space="preserve"> leads </w:t>
      </w:r>
      <w:proofErr w:type="spellStart"/>
      <w:r w:rsidRPr="00D46675">
        <w:rPr>
          <w:rFonts w:cs="Arial"/>
          <w:szCs w:val="20"/>
        </w:rPr>
        <w:t>LIRNEasia’s</w:t>
      </w:r>
      <w:proofErr w:type="spellEnd"/>
      <w:r w:rsidRPr="00D46675">
        <w:rPr>
          <w:rFonts w:cs="Arial"/>
          <w:szCs w:val="20"/>
        </w:rPr>
        <w:t xml:space="preserve"> 2012-2014 IDRC funded research on improving customer life cycle management practices in the delivery of electricity and e-government services using ICTs.    She recently completed an assessment of how the poor in Bangladesh and Sri Lanka use </w:t>
      </w:r>
      <w:proofErr w:type="spellStart"/>
      <w:r w:rsidRPr="00D46675">
        <w:rPr>
          <w:rFonts w:cs="Arial"/>
          <w:szCs w:val="20"/>
        </w:rPr>
        <w:t>telecenters</w:t>
      </w:r>
      <w:proofErr w:type="spellEnd"/>
      <w:r w:rsidRPr="00D46675">
        <w:rPr>
          <w:rFonts w:cs="Arial"/>
          <w:szCs w:val="20"/>
        </w:rPr>
        <w:t xml:space="preserve"> to access government services.   For UNCTAD and GTZ she authored a report on how government procurement practices can be used to promote a country’s ICT sector and for the World Bank/</w:t>
      </w:r>
      <w:proofErr w:type="spellStart"/>
      <w:r w:rsidRPr="00D46675">
        <w:rPr>
          <w:rFonts w:cs="Arial"/>
          <w:szCs w:val="20"/>
        </w:rPr>
        <w:t>InfoDev</w:t>
      </w:r>
      <w:proofErr w:type="spellEnd"/>
      <w:r w:rsidRPr="00D46675">
        <w:rPr>
          <w:rFonts w:cs="Arial"/>
          <w:szCs w:val="20"/>
        </w:rPr>
        <w:t xml:space="preserve"> Broadband Toolkit, a report on broadband strategies in Sri Lanka. She has been an invited speaker at various international forums on topics ranging from m-Government to ICT indicators to communicating research to policy makers. Prior to LIRNEasia, </w:t>
      </w:r>
      <w:proofErr w:type="spellStart"/>
      <w:r w:rsidRPr="00D46675">
        <w:rPr>
          <w:rFonts w:cs="Arial"/>
          <w:szCs w:val="20"/>
        </w:rPr>
        <w:t>Helani</w:t>
      </w:r>
      <w:proofErr w:type="spellEnd"/>
      <w:r w:rsidRPr="00D46675">
        <w:rPr>
          <w:rFonts w:cs="Arial"/>
          <w:szCs w:val="20"/>
        </w:rPr>
        <w:t xml:space="preserve"> worked at the ICT Agency of Sri Lanka, implementing the World-Bank funded e-Sri Lanka initiative.  Prior to her return to Sri Lanka, she worked in the United States at Booz &amp; Co., Marengo Research, Citibank, and Merrill Lynch. </w:t>
      </w:r>
      <w:proofErr w:type="spellStart"/>
      <w:r w:rsidRPr="00D46675">
        <w:rPr>
          <w:rFonts w:cs="Arial"/>
          <w:szCs w:val="20"/>
        </w:rPr>
        <w:t>Helani</w:t>
      </w:r>
      <w:proofErr w:type="spellEnd"/>
      <w:r w:rsidRPr="00D46675">
        <w:rPr>
          <w:rFonts w:cs="Arial"/>
          <w:szCs w:val="20"/>
        </w:rPr>
        <w:t xml:space="preserve"> holds a Masters in Technology and Policy from the Massachusetts Institute of Technology, and a Bachelor’s in Computer Science from Mount Holyoke College, USA.</w:t>
      </w:r>
    </w:p>
    <w:p w:rsidR="001320E3" w:rsidRDefault="001320E3" w:rsidP="001320E3">
      <w:pPr>
        <w:spacing w:line="23" w:lineRule="atLeast"/>
        <w:jc w:val="both"/>
        <w:rPr>
          <w:rFonts w:cs="Arial"/>
          <w:szCs w:val="20"/>
        </w:rPr>
      </w:pPr>
      <w:proofErr w:type="spellStart"/>
      <w:r w:rsidRPr="00D46675">
        <w:rPr>
          <w:rFonts w:cs="Arial"/>
          <w:b/>
          <w:bCs/>
          <w:szCs w:val="20"/>
        </w:rPr>
        <w:t>Roshanthi</w:t>
      </w:r>
      <w:proofErr w:type="spellEnd"/>
      <w:r w:rsidRPr="00D46675">
        <w:rPr>
          <w:rFonts w:cs="Arial"/>
          <w:b/>
          <w:bCs/>
          <w:szCs w:val="20"/>
        </w:rPr>
        <w:t xml:space="preserve"> Lucas </w:t>
      </w:r>
      <w:proofErr w:type="spellStart"/>
      <w:r w:rsidRPr="00D46675">
        <w:rPr>
          <w:rFonts w:cs="Arial"/>
          <w:b/>
          <w:bCs/>
          <w:szCs w:val="20"/>
        </w:rPr>
        <w:t>Gunaratne</w:t>
      </w:r>
      <w:proofErr w:type="spellEnd"/>
      <w:r w:rsidRPr="00D46675">
        <w:rPr>
          <w:rFonts w:cs="Arial"/>
          <w:szCs w:val="20"/>
        </w:rPr>
        <w:t xml:space="preserve"> is a Research Manager at LIRNEasia and is currently managing the Ford Foundation Funded project on Giving Broadband Access to the Poor in India.   She is also contributing to the IDRC Customer Lifecycle Management Practices Project by conducting research on customer lifecycle management practices in telecommunication sector in Bangladesh.  Before joining LIRNE</w:t>
      </w:r>
      <w:r w:rsidRPr="00D46675">
        <w:rPr>
          <w:rFonts w:cs="Arial"/>
          <w:i/>
          <w:iCs/>
          <w:szCs w:val="20"/>
        </w:rPr>
        <w:t>asia</w:t>
      </w:r>
      <w:r w:rsidRPr="00D46675">
        <w:rPr>
          <w:rFonts w:cs="Arial"/>
          <w:szCs w:val="20"/>
        </w:rPr>
        <w:t xml:space="preserve">, </w:t>
      </w:r>
      <w:proofErr w:type="spellStart"/>
      <w:r w:rsidRPr="00D46675">
        <w:rPr>
          <w:rFonts w:cs="Arial"/>
          <w:szCs w:val="20"/>
        </w:rPr>
        <w:t>Roshanthi</w:t>
      </w:r>
      <w:proofErr w:type="spellEnd"/>
      <w:r w:rsidRPr="00D46675">
        <w:rPr>
          <w:rFonts w:cs="Arial"/>
          <w:szCs w:val="20"/>
        </w:rPr>
        <w:t xml:space="preserve"> worked at the Global Fund to fight AIDS, Tuberculosis and Malaria, Geneva, Switzerland as a Strategic Information Officer. She contributed to the process of defining the Global Fund Key Performance Indicators, and also worked on improving the performance measurements of their grants. Prior to that, she worked as a telecom project manager at Dialog Telecom, and </w:t>
      </w:r>
      <w:proofErr w:type="spellStart"/>
      <w:r w:rsidRPr="00D46675">
        <w:rPr>
          <w:rFonts w:cs="Arial"/>
          <w:szCs w:val="20"/>
        </w:rPr>
        <w:t>Suntel</w:t>
      </w:r>
      <w:proofErr w:type="spellEnd"/>
      <w:r w:rsidRPr="00D46675">
        <w:rPr>
          <w:rFonts w:cs="Arial"/>
          <w:szCs w:val="20"/>
        </w:rPr>
        <w:t xml:space="preserve"> Ltd in Sri Lanka. At </w:t>
      </w:r>
      <w:proofErr w:type="spellStart"/>
      <w:r w:rsidRPr="00D46675">
        <w:rPr>
          <w:rFonts w:cs="Arial"/>
          <w:szCs w:val="20"/>
        </w:rPr>
        <w:t>Suntel</w:t>
      </w:r>
      <w:proofErr w:type="spellEnd"/>
      <w:r w:rsidRPr="00D46675">
        <w:rPr>
          <w:rFonts w:cs="Arial"/>
          <w:szCs w:val="20"/>
        </w:rPr>
        <w:t xml:space="preserve"> she managed the design and implementation of corporate customer projects.  She holds a MBA from the Judge Business School, University of Cambridge, UK and a BSc. </w:t>
      </w:r>
      <w:proofErr w:type="spellStart"/>
      <w:r w:rsidRPr="00D46675">
        <w:rPr>
          <w:rFonts w:cs="Arial"/>
          <w:szCs w:val="20"/>
        </w:rPr>
        <w:t>Eng</w:t>
      </w:r>
      <w:proofErr w:type="spellEnd"/>
      <w:r w:rsidRPr="00D46675">
        <w:rPr>
          <w:rFonts w:cs="Arial"/>
          <w:szCs w:val="20"/>
        </w:rPr>
        <w:t xml:space="preserve"> (</w:t>
      </w:r>
      <w:proofErr w:type="spellStart"/>
      <w:r w:rsidRPr="00D46675">
        <w:rPr>
          <w:rFonts w:cs="Arial"/>
          <w:szCs w:val="20"/>
        </w:rPr>
        <w:t>Hons</w:t>
      </w:r>
      <w:proofErr w:type="spellEnd"/>
      <w:r w:rsidRPr="00D46675">
        <w:rPr>
          <w:rFonts w:cs="Arial"/>
          <w:szCs w:val="20"/>
        </w:rPr>
        <w:t xml:space="preserve">) specializing in Electronics and Telecommunication from the University of </w:t>
      </w:r>
      <w:proofErr w:type="spellStart"/>
      <w:r w:rsidRPr="00D46675">
        <w:rPr>
          <w:rFonts w:cs="Arial"/>
          <w:szCs w:val="20"/>
        </w:rPr>
        <w:t>Moratuwa</w:t>
      </w:r>
      <w:proofErr w:type="spellEnd"/>
      <w:r w:rsidRPr="00D46675">
        <w:rPr>
          <w:rFonts w:cs="Arial"/>
          <w:szCs w:val="20"/>
        </w:rPr>
        <w:t>, Sri Lanka.</w:t>
      </w:r>
    </w:p>
    <w:p w:rsidR="001320E3" w:rsidRPr="00964D9F" w:rsidRDefault="001320E3" w:rsidP="001320E3">
      <w:pPr>
        <w:jc w:val="both"/>
        <w:rPr>
          <w:rFonts w:cs="Arial"/>
          <w:szCs w:val="20"/>
        </w:rPr>
      </w:pPr>
      <w:proofErr w:type="spellStart"/>
      <w:r w:rsidRPr="009428DB">
        <w:rPr>
          <w:b/>
        </w:rPr>
        <w:t>Nilusha</w:t>
      </w:r>
      <w:proofErr w:type="spellEnd"/>
      <w:r w:rsidRPr="009428DB">
        <w:rPr>
          <w:b/>
        </w:rPr>
        <w:t xml:space="preserve"> </w:t>
      </w:r>
      <w:proofErr w:type="spellStart"/>
      <w:r w:rsidRPr="009428DB">
        <w:rPr>
          <w:b/>
        </w:rPr>
        <w:t>Kapugama</w:t>
      </w:r>
      <w:proofErr w:type="spellEnd"/>
      <w:r w:rsidRPr="009428DB">
        <w:rPr>
          <w:b/>
        </w:rPr>
        <w:t xml:space="preserve"> </w:t>
      </w:r>
      <w:r w:rsidRPr="00964D9F">
        <w:rPr>
          <w:rFonts w:cs="Arial"/>
          <w:szCs w:val="20"/>
        </w:rPr>
        <w:t xml:space="preserve">is a Research Manager at LIRNEasia and manages the electricity component of the 2012-2014 IDRC Project on ‘Achieving e-inclusion by improving government service delivery &amp; exploring the potential of “big data” for answering development questions’. </w:t>
      </w:r>
      <w:r>
        <w:rPr>
          <w:rFonts w:cs="Arial"/>
          <w:szCs w:val="20"/>
        </w:rPr>
        <w:t xml:space="preserve"> </w:t>
      </w:r>
      <w:r w:rsidRPr="00964D9F">
        <w:rPr>
          <w:rFonts w:cs="Arial"/>
          <w:szCs w:val="20"/>
        </w:rPr>
        <w:t>She is also working on a systematic review looking at the economic impacts of mobile phones. Previously she managed the Knowledge Based Economy project at LIRNEasia, which looked at the information and knowledge gaps in agriculture supply chains. She also worked on </w:t>
      </w:r>
      <w:proofErr w:type="spellStart"/>
      <w:r w:rsidR="00F6786F" w:rsidRPr="00964D9F">
        <w:rPr>
          <w:rFonts w:cs="Arial"/>
          <w:szCs w:val="20"/>
        </w:rPr>
        <w:fldChar w:fldCharType="begin"/>
      </w:r>
      <w:r w:rsidRPr="00964D9F">
        <w:rPr>
          <w:rFonts w:cs="Arial"/>
          <w:szCs w:val="20"/>
        </w:rPr>
        <w:instrText xml:space="preserve"> HYPERLINK "http://www.lirneasia.net/projects/current-projects/capacity-and-field-building/" </w:instrText>
      </w:r>
      <w:r w:rsidR="00F6786F" w:rsidRPr="00964D9F">
        <w:rPr>
          <w:rFonts w:cs="Arial"/>
          <w:szCs w:val="20"/>
        </w:rPr>
        <w:fldChar w:fldCharType="separate"/>
      </w:r>
      <w:r w:rsidRPr="00964D9F">
        <w:rPr>
          <w:rFonts w:cs="Arial"/>
          <w:szCs w:val="20"/>
        </w:rPr>
        <w:t>CPR</w:t>
      </w:r>
      <w:r w:rsidR="00F6786F" w:rsidRPr="00964D9F">
        <w:rPr>
          <w:rFonts w:cs="Arial"/>
          <w:szCs w:val="20"/>
        </w:rPr>
        <w:fldChar w:fldCharType="end"/>
      </w:r>
      <w:hyperlink r:id="rId10" w:history="1">
        <w:r w:rsidRPr="00964D9F">
          <w:rPr>
            <w:rFonts w:cs="Arial"/>
            <w:szCs w:val="20"/>
          </w:rPr>
          <w:t>south</w:t>
        </w:r>
        <w:proofErr w:type="spellEnd"/>
      </w:hyperlink>
      <w:r w:rsidRPr="00964D9F">
        <w:rPr>
          <w:rFonts w:cs="Arial"/>
          <w:szCs w:val="20"/>
        </w:rPr>
        <w:t xml:space="preserve">, </w:t>
      </w:r>
      <w:proofErr w:type="spellStart"/>
      <w:r w:rsidRPr="00964D9F">
        <w:rPr>
          <w:rFonts w:cs="Arial"/>
          <w:szCs w:val="20"/>
        </w:rPr>
        <w:t>LIRNEasia’s</w:t>
      </w:r>
      <w:proofErr w:type="spellEnd"/>
      <w:r w:rsidRPr="00964D9F">
        <w:rPr>
          <w:rFonts w:cs="Arial"/>
          <w:szCs w:val="20"/>
        </w:rPr>
        <w:t xml:space="preserve"> capacity-building initiative to develop Asia-Pacific expertise and knowledge networks in ICT policy regulation. She has also done research on broadband quality indicators and national regulatory authority (NRA) website indicators. She has also worked on </w:t>
      </w:r>
      <w:proofErr w:type="spellStart"/>
      <w:r w:rsidRPr="00964D9F">
        <w:rPr>
          <w:rFonts w:cs="Arial"/>
          <w:szCs w:val="20"/>
        </w:rPr>
        <w:t>LIRNEasia’s</w:t>
      </w:r>
      <w:proofErr w:type="spellEnd"/>
      <w:r w:rsidRPr="00964D9F">
        <w:rPr>
          <w:rFonts w:cs="Arial"/>
          <w:szCs w:val="20"/>
        </w:rPr>
        <w:t> </w:t>
      </w:r>
      <w:hyperlink r:id="rId11" w:history="1">
        <w:r w:rsidRPr="00964D9F">
          <w:rPr>
            <w:rFonts w:cs="Arial"/>
            <w:szCs w:val="20"/>
          </w:rPr>
          <w:t>Virtual Organization Project</w:t>
        </w:r>
      </w:hyperlink>
      <w:r w:rsidRPr="00964D9F">
        <w:rPr>
          <w:rFonts w:cs="Arial"/>
          <w:szCs w:val="20"/>
        </w:rPr>
        <w:t xml:space="preserve">.  She has experience organizing international conferences and training courses. </w:t>
      </w:r>
      <w:r>
        <w:rPr>
          <w:rFonts w:cs="Arial"/>
          <w:szCs w:val="20"/>
        </w:rPr>
        <w:t xml:space="preserve"> </w:t>
      </w:r>
      <w:r w:rsidRPr="00964D9F">
        <w:rPr>
          <w:rFonts w:cs="Arial"/>
          <w:szCs w:val="20"/>
        </w:rPr>
        <w:t xml:space="preserve">She holds a master’s degree in development economics and policy from the University </w:t>
      </w:r>
      <w:proofErr w:type="gramStart"/>
      <w:r w:rsidRPr="00964D9F">
        <w:rPr>
          <w:rFonts w:cs="Arial"/>
          <w:szCs w:val="20"/>
        </w:rPr>
        <w:t>of</w:t>
      </w:r>
      <w:proofErr w:type="gramEnd"/>
      <w:r w:rsidRPr="00964D9F">
        <w:rPr>
          <w:rFonts w:cs="Arial"/>
          <w:szCs w:val="20"/>
        </w:rPr>
        <w:t xml:space="preserve"> Manchester, UK.</w:t>
      </w:r>
    </w:p>
    <w:p w:rsidR="001320E3" w:rsidRDefault="001320E3" w:rsidP="001320E3">
      <w:pPr>
        <w:rPr>
          <w:rFonts w:cs="Arial"/>
          <w:b/>
          <w:bCs/>
          <w:szCs w:val="20"/>
        </w:rPr>
      </w:pPr>
      <w:r>
        <w:rPr>
          <w:rFonts w:cs="Arial"/>
          <w:b/>
          <w:bCs/>
          <w:szCs w:val="20"/>
        </w:rPr>
        <w:br w:type="page"/>
      </w:r>
    </w:p>
    <w:p w:rsidR="001320E3" w:rsidRPr="00D46675" w:rsidRDefault="001320E3" w:rsidP="001320E3">
      <w:pPr>
        <w:spacing w:line="23" w:lineRule="atLeast"/>
        <w:jc w:val="both"/>
        <w:rPr>
          <w:rFonts w:cs="Arial"/>
          <w:szCs w:val="20"/>
        </w:rPr>
      </w:pPr>
      <w:proofErr w:type="spellStart"/>
      <w:r w:rsidRPr="00D46675">
        <w:rPr>
          <w:rFonts w:cs="Arial"/>
          <w:b/>
          <w:bCs/>
          <w:szCs w:val="20"/>
        </w:rPr>
        <w:lastRenderedPageBreak/>
        <w:t>Rajat</w:t>
      </w:r>
      <w:proofErr w:type="spellEnd"/>
      <w:r w:rsidRPr="00D46675">
        <w:rPr>
          <w:rFonts w:cs="Arial"/>
          <w:b/>
          <w:bCs/>
          <w:szCs w:val="20"/>
        </w:rPr>
        <w:t xml:space="preserve"> </w:t>
      </w:r>
      <w:proofErr w:type="spellStart"/>
      <w:r w:rsidRPr="00D46675">
        <w:rPr>
          <w:rFonts w:cs="Arial"/>
          <w:b/>
          <w:bCs/>
          <w:szCs w:val="20"/>
        </w:rPr>
        <w:t>Kathuria</w:t>
      </w:r>
      <w:proofErr w:type="spellEnd"/>
      <w:r w:rsidRPr="00D46675">
        <w:rPr>
          <w:rFonts w:cs="Arial"/>
          <w:b/>
          <w:bCs/>
          <w:szCs w:val="20"/>
        </w:rPr>
        <w:t>, PhD</w:t>
      </w:r>
      <w:r>
        <w:rPr>
          <w:rFonts w:cs="Arial"/>
          <w:szCs w:val="20"/>
        </w:rPr>
        <w:t>,</w:t>
      </w:r>
      <w:r w:rsidRPr="00D46675">
        <w:rPr>
          <w:rFonts w:cs="Arial"/>
          <w:szCs w:val="20"/>
        </w:rPr>
        <w:t xml:space="preserve"> is Director and Chief Executive at Indian Council for Research on International Economic Relations (ICRIER), New Delhi. He has over 20 years experience in teaching and 10 years experience in economic policy, besides research interests on a range of issues relating to regulation and competition policy. He worked with Telecom Regulatory Authority of India (TRAI) during its first eight years (1998-2006) and gained hands on experience with telecom regulation in an environment changing rapidly towards competition. The role entailed analysis of economic issues relating to telecom tariff policy, tariff rebalancing, interconnection charges and licensing policy. Market research and questionnaire development and analysis formed an integral part of this exercise. It also involved evaluation of macro level initiatives for transforming the telecom industry. He wrote a number of consultation papers which eventually formed the basis of tariff and interconnection orders applicable to the industry. He has an undergraduate degree in Economics from St. Stephens College, a Masters from Delhi School of Economics and a PhD degree from the University of Maryland, College Park.</w:t>
      </w:r>
    </w:p>
    <w:p w:rsidR="001320E3" w:rsidRPr="00D46675" w:rsidRDefault="001320E3" w:rsidP="001320E3">
      <w:pPr>
        <w:spacing w:line="23" w:lineRule="atLeast"/>
        <w:jc w:val="both"/>
        <w:rPr>
          <w:rFonts w:cs="Arial"/>
          <w:szCs w:val="20"/>
        </w:rPr>
      </w:pPr>
      <w:proofErr w:type="spellStart"/>
      <w:r w:rsidRPr="00D46675">
        <w:rPr>
          <w:rFonts w:cs="Arial"/>
          <w:b/>
          <w:bCs/>
          <w:szCs w:val="20"/>
        </w:rPr>
        <w:t>Koesmarihati</w:t>
      </w:r>
      <w:proofErr w:type="spellEnd"/>
      <w:r w:rsidRPr="00D46675">
        <w:rPr>
          <w:rFonts w:cs="Arial"/>
          <w:b/>
          <w:bCs/>
          <w:szCs w:val="20"/>
        </w:rPr>
        <w:t xml:space="preserve"> </w:t>
      </w:r>
      <w:proofErr w:type="spellStart"/>
      <w:r w:rsidRPr="00D46675">
        <w:rPr>
          <w:rFonts w:cs="Arial"/>
          <w:b/>
          <w:bCs/>
          <w:szCs w:val="20"/>
        </w:rPr>
        <w:t>Sugondo</w:t>
      </w:r>
      <w:proofErr w:type="spellEnd"/>
      <w:r w:rsidRPr="00D46675">
        <w:rPr>
          <w:rFonts w:cs="Arial"/>
          <w:szCs w:val="20"/>
        </w:rPr>
        <w:t xml:space="preserve"> is currently the Special Advisor to the Directorate General of Posts and Telecommunications (DGPT) in current Regulatory issues and the coming Convergence issues. She was a former committee member (Commissioner) with the Indonesian Telecommunications Regulatory Authority for two terms. During this time she focused on guiding the telecommunications sector from a Monopoly to a competitive market. She was also involved with the formulation of interconnection regulation between the operators. She was the President and CEO of PT TELEKOMSEL (1995-1998) and the director of development (1993-1995) of TELKOM of Indonesia. </w:t>
      </w:r>
      <w:proofErr w:type="spellStart"/>
      <w:r w:rsidRPr="00D46675">
        <w:rPr>
          <w:rFonts w:cs="Arial"/>
          <w:szCs w:val="20"/>
        </w:rPr>
        <w:t>Ms</w:t>
      </w:r>
      <w:proofErr w:type="spellEnd"/>
      <w:r w:rsidRPr="00D46675">
        <w:rPr>
          <w:rFonts w:cs="Arial"/>
          <w:szCs w:val="20"/>
        </w:rPr>
        <w:t xml:space="preserve"> </w:t>
      </w:r>
      <w:proofErr w:type="spellStart"/>
      <w:r w:rsidRPr="00D46675">
        <w:rPr>
          <w:rFonts w:cs="Arial"/>
          <w:szCs w:val="20"/>
        </w:rPr>
        <w:t>Sugondo</w:t>
      </w:r>
      <w:proofErr w:type="spellEnd"/>
      <w:r w:rsidRPr="00D46675">
        <w:rPr>
          <w:rFonts w:cs="Arial"/>
          <w:szCs w:val="20"/>
        </w:rPr>
        <w:t xml:space="preserve"> is an Engineer by training and has received her degree from the University of Tasmania in Hobart, Australia. She received her ASEAN Professional Engineer certificate from AFEO (ASEAN Federation of Engineering Organizations) in 2003. Ms. </w:t>
      </w:r>
      <w:proofErr w:type="spellStart"/>
      <w:r w:rsidRPr="00D46675">
        <w:rPr>
          <w:rFonts w:cs="Arial"/>
          <w:szCs w:val="20"/>
        </w:rPr>
        <w:t>Sugondo</w:t>
      </w:r>
      <w:proofErr w:type="spellEnd"/>
      <w:r w:rsidRPr="00D46675">
        <w:rPr>
          <w:rFonts w:cs="Arial"/>
          <w:szCs w:val="20"/>
        </w:rPr>
        <w:t xml:space="preserve"> has also worked on strengthening the relationship between Indonesia and Australia She has received the “Distinguished International Alumni Award” from University Tasmania for her professional achievement and in promoting friendship between Australia and Indonesia.</w:t>
      </w:r>
    </w:p>
    <w:p w:rsidR="001320E3" w:rsidRDefault="001320E3" w:rsidP="001320E3">
      <w:pPr>
        <w:rPr>
          <w:rFonts w:asciiTheme="majorHAnsi" w:eastAsiaTheme="majorEastAsia" w:hAnsiTheme="majorHAnsi" w:cstheme="majorBidi"/>
          <w:b/>
          <w:bCs/>
          <w:color w:val="365F91" w:themeColor="accent1" w:themeShade="BF"/>
          <w:sz w:val="28"/>
          <w:szCs w:val="28"/>
        </w:rPr>
      </w:pPr>
    </w:p>
    <w:p w:rsidR="001320E3" w:rsidRDefault="001320E3" w:rsidP="001320E3">
      <w:pPr>
        <w:pStyle w:val="Heading1"/>
        <w:numPr>
          <w:ilvl w:val="0"/>
          <w:numId w:val="10"/>
        </w:numPr>
        <w:spacing w:before="0" w:line="240" w:lineRule="auto"/>
      </w:pPr>
      <w:r>
        <w:t>Resource material</w:t>
      </w:r>
    </w:p>
    <w:p w:rsidR="001320E3" w:rsidRDefault="001320E3" w:rsidP="001320E3">
      <w:pPr>
        <w:spacing w:before="120"/>
      </w:pPr>
      <w:proofErr w:type="spellStart"/>
      <w:proofErr w:type="gramStart"/>
      <w:r>
        <w:t>infodev</w:t>
      </w:r>
      <w:proofErr w:type="spellEnd"/>
      <w:proofErr w:type="gramEnd"/>
      <w:r>
        <w:t xml:space="preserve">, </w:t>
      </w:r>
      <w:r w:rsidRPr="00987765">
        <w:rPr>
          <w:i/>
          <w:iCs/>
        </w:rPr>
        <w:t>ICT regulation toolkit</w:t>
      </w:r>
      <w:r>
        <w:t xml:space="preserve">.  </w:t>
      </w:r>
      <w:hyperlink r:id="rId12" w:history="1">
        <w:r w:rsidRPr="009C3851">
          <w:rPr>
            <w:rStyle w:val="Hyperlink"/>
          </w:rPr>
          <w:t>http://www.ictregulationtoolkit.org/en/Index.html</w:t>
        </w:r>
      </w:hyperlink>
      <w:r>
        <w:t xml:space="preserve"> </w:t>
      </w:r>
    </w:p>
    <w:p w:rsidR="001320E3" w:rsidRDefault="001320E3" w:rsidP="001320E3">
      <w:proofErr w:type="spellStart"/>
      <w:proofErr w:type="gramStart"/>
      <w:r>
        <w:t>infoDev</w:t>
      </w:r>
      <w:proofErr w:type="spellEnd"/>
      <w:proofErr w:type="gramEnd"/>
      <w:r>
        <w:t xml:space="preserve">.  </w:t>
      </w:r>
      <w:proofErr w:type="gramStart"/>
      <w:r w:rsidRPr="00A833E6">
        <w:rPr>
          <w:i/>
          <w:iCs/>
        </w:rPr>
        <w:t>Broadband strategies toolkit</w:t>
      </w:r>
      <w:r>
        <w:t>.</w:t>
      </w:r>
      <w:proofErr w:type="gramEnd"/>
      <w:r>
        <w:t xml:space="preserve">  </w:t>
      </w:r>
      <w:hyperlink r:id="rId13" w:history="1">
        <w:r w:rsidRPr="0063019D">
          <w:rPr>
            <w:rStyle w:val="Hyperlink"/>
          </w:rPr>
          <w:t>http://broadbandtoolkit.org/en/toolkit/contents</w:t>
        </w:r>
      </w:hyperlink>
      <w:r>
        <w:t xml:space="preserve"> </w:t>
      </w:r>
    </w:p>
    <w:p w:rsidR="001320E3" w:rsidRDefault="001320E3" w:rsidP="001320E3">
      <w:proofErr w:type="spellStart"/>
      <w:proofErr w:type="gramStart"/>
      <w:r>
        <w:t>infoDev</w:t>
      </w:r>
      <w:proofErr w:type="spellEnd"/>
      <w:proofErr w:type="gramEnd"/>
      <w:r>
        <w:t xml:space="preserve"> (2011). </w:t>
      </w:r>
      <w:proofErr w:type="gramStart"/>
      <w:r w:rsidRPr="00870ECA">
        <w:rPr>
          <w:i/>
          <w:iCs/>
        </w:rPr>
        <w:t>Tenth anniversary telecom regulation handbook</w:t>
      </w:r>
      <w:r>
        <w:t>.</w:t>
      </w:r>
      <w:proofErr w:type="gramEnd"/>
      <w:r>
        <w:t xml:space="preserve">  </w:t>
      </w:r>
      <w:hyperlink r:id="rId14" w:history="1">
        <w:r>
          <w:rPr>
            <w:rStyle w:val="Hyperlink"/>
          </w:rPr>
          <w:t>http://www.infodev.org/En/Publication.1057.html</w:t>
        </w:r>
      </w:hyperlink>
    </w:p>
    <w:p w:rsidR="001320E3" w:rsidRDefault="001320E3" w:rsidP="001320E3">
      <w:proofErr w:type="gramStart"/>
      <w:r w:rsidRPr="00987765">
        <w:t>ITU</w:t>
      </w:r>
      <w:r>
        <w:t xml:space="preserve"> (2011).</w:t>
      </w:r>
      <w:proofErr w:type="gramEnd"/>
      <w:r>
        <w:t xml:space="preserve"> </w:t>
      </w:r>
      <w:r w:rsidRPr="00987765">
        <w:t xml:space="preserve"> </w:t>
      </w:r>
      <w:r w:rsidRPr="00F73E27">
        <w:rPr>
          <w:i/>
          <w:iCs/>
        </w:rPr>
        <w:t>The role of ICT in advancing growth in least developed countries: Trends, challenges and opportunities</w:t>
      </w:r>
      <w:r w:rsidRPr="00987765">
        <w:t xml:space="preserve">.  Geneva:  ITU.  </w:t>
      </w:r>
      <w:hyperlink r:id="rId15" w:history="1">
        <w:r w:rsidRPr="009C3851">
          <w:rPr>
            <w:rStyle w:val="Hyperlink"/>
          </w:rPr>
          <w:t>http://www.itu.int/ITU-D/ldc/turkey/docs/The_Role_of_ICT_in_Advancing_Growth_in_LDCs_Trends_Challenges_and_Opportunities.pdf</w:t>
        </w:r>
      </w:hyperlink>
      <w:r>
        <w:t xml:space="preserve"> </w:t>
      </w:r>
      <w:r w:rsidRPr="00987765">
        <w:t xml:space="preserve"> </w:t>
      </w:r>
      <w:r>
        <w:t xml:space="preserve"> </w:t>
      </w:r>
    </w:p>
    <w:p w:rsidR="001320E3" w:rsidRDefault="001320E3" w:rsidP="001320E3">
      <w:r>
        <w:t xml:space="preserve">Samarajiva, Rohan (2000).  </w:t>
      </w:r>
      <w:r w:rsidRPr="000E08B2">
        <w:t xml:space="preserve">The role of competition in institutional reform of telecommunications: Lessons from Sri Lanka, </w:t>
      </w:r>
      <w:r w:rsidRPr="00F73E27">
        <w:rPr>
          <w:i/>
          <w:iCs/>
        </w:rPr>
        <w:t>Telecommunications Policy</w:t>
      </w:r>
      <w:r w:rsidRPr="000E08B2">
        <w:t xml:space="preserve">, 24(8/9): 699-717.  </w:t>
      </w:r>
      <w:hyperlink r:id="rId16" w:history="1">
        <w:r w:rsidRPr="009C3851">
          <w:rPr>
            <w:rStyle w:val="Hyperlink"/>
          </w:rPr>
          <w:t>http://www.comunica.org/samarajiva.html</w:t>
        </w:r>
      </w:hyperlink>
      <w:r>
        <w:t xml:space="preserve"> </w:t>
      </w:r>
      <w:r w:rsidRPr="000E08B2">
        <w:t xml:space="preserve">  </w:t>
      </w:r>
    </w:p>
    <w:p w:rsidR="001320E3" w:rsidRDefault="001320E3" w:rsidP="001320E3">
      <w:r>
        <w:t>Samarajiva, Rohan (2002).  Why regulate</w:t>
      </w:r>
      <w:proofErr w:type="gramStart"/>
      <w:r w:rsidRPr="000E08B2">
        <w:t>?,</w:t>
      </w:r>
      <w:proofErr w:type="gramEnd"/>
      <w:r w:rsidRPr="000E08B2">
        <w:t xml:space="preserve"> chapter 2 of </w:t>
      </w:r>
      <w:r w:rsidRPr="00F73E27">
        <w:rPr>
          <w:i/>
          <w:iCs/>
        </w:rPr>
        <w:t>Effective regulation:  Trends in Telecommunication Reform 2002</w:t>
      </w:r>
      <w:r w:rsidRPr="000E08B2">
        <w:t xml:space="preserve">.  Geneva:  International Telecommunication Union. </w:t>
      </w:r>
    </w:p>
    <w:p w:rsidR="001320E3" w:rsidRPr="000E08B2" w:rsidRDefault="001320E3" w:rsidP="001320E3">
      <w:r>
        <w:lastRenderedPageBreak/>
        <w:t xml:space="preserve">Samarajiva, Rohan (2006).  </w:t>
      </w:r>
      <w:r w:rsidRPr="000E08B2">
        <w:t xml:space="preserve">Preconditions for effective deployment of wireless technologies for development in the Asia-Pacific, </w:t>
      </w:r>
      <w:r w:rsidRPr="000E08B2">
        <w:rPr>
          <w:i/>
          <w:iCs/>
        </w:rPr>
        <w:t>Information Technology and International Development</w:t>
      </w:r>
      <w:r w:rsidRPr="000E08B2">
        <w:t xml:space="preserve">, 3(2): 57-71. </w:t>
      </w:r>
      <w:hyperlink r:id="rId17" w:history="1">
        <w:r w:rsidRPr="000E08B2">
          <w:rPr>
            <w:rStyle w:val="Hyperlink"/>
          </w:rPr>
          <w:t>http://itidjournal.org/itid/article/view/224/94</w:t>
        </w:r>
      </w:hyperlink>
      <w:r w:rsidRPr="000E08B2">
        <w:t xml:space="preserve"> </w:t>
      </w:r>
    </w:p>
    <w:p w:rsidR="001320E3" w:rsidRDefault="001320E3" w:rsidP="001320E3">
      <w:proofErr w:type="gramStart"/>
      <w:r w:rsidRPr="000E08B2">
        <w:t xml:space="preserve">Samarajiva, Rohan &amp; </w:t>
      </w:r>
      <w:proofErr w:type="spellStart"/>
      <w:r w:rsidRPr="000E08B2">
        <w:t>Zainudeen</w:t>
      </w:r>
      <w:proofErr w:type="spellEnd"/>
      <w:r w:rsidRPr="000E08B2">
        <w:t>, Ayesha (2008).</w:t>
      </w:r>
      <w:proofErr w:type="gramEnd"/>
      <w:r>
        <w:rPr>
          <w:i/>
          <w:iCs/>
        </w:rPr>
        <w:t xml:space="preserve">  </w:t>
      </w:r>
      <w:r w:rsidRPr="000E08B2">
        <w:rPr>
          <w:i/>
          <w:iCs/>
        </w:rPr>
        <w:t>ICT infrastructure in emerging Asia:  Policy and regulatory roadblocks</w:t>
      </w:r>
      <w:proofErr w:type="gramStart"/>
      <w:r w:rsidRPr="000E08B2">
        <w:t>,  New</w:t>
      </w:r>
      <w:proofErr w:type="gramEnd"/>
      <w:r w:rsidRPr="000E08B2">
        <w:t xml:space="preserve"> Delhi &amp; Ottawa:  Sage &amp;</w:t>
      </w:r>
      <w:r>
        <w:t xml:space="preserve"> IDRC</w:t>
      </w:r>
      <w:r w:rsidRPr="000E08B2">
        <w:t xml:space="preserve">  </w:t>
      </w:r>
      <w:hyperlink r:id="rId18" w:history="1">
        <w:r w:rsidRPr="000E08B2">
          <w:rPr>
            <w:rStyle w:val="Hyperlink"/>
          </w:rPr>
          <w:t>http://www.idrc.ca/en/ev-117916-201-1-DO_TOPIC.html</w:t>
        </w:r>
      </w:hyperlink>
      <w:r w:rsidRPr="000E08B2">
        <w:t xml:space="preserve"> </w:t>
      </w:r>
    </w:p>
    <w:p w:rsidR="001320E3" w:rsidRDefault="001320E3" w:rsidP="001320E3">
      <w:r>
        <w:t xml:space="preserve">Smith, Peter &amp; </w:t>
      </w:r>
      <w:proofErr w:type="spellStart"/>
      <w:r>
        <w:t>Wellenius</w:t>
      </w:r>
      <w:proofErr w:type="spellEnd"/>
      <w:r>
        <w:t xml:space="preserve">, </w:t>
      </w:r>
      <w:proofErr w:type="spellStart"/>
      <w:r>
        <w:t>Björn</w:t>
      </w:r>
      <w:proofErr w:type="spellEnd"/>
      <w:r>
        <w:t xml:space="preserve"> (1999), </w:t>
      </w:r>
      <w:r w:rsidRPr="00FB7BC2">
        <w:rPr>
          <w:i/>
        </w:rPr>
        <w:t>Mitigating Regulatory Risk in Telecommunications</w:t>
      </w:r>
      <w:r>
        <w:t xml:space="preserve"> </w:t>
      </w:r>
      <w:hyperlink r:id="rId19" w:tgtFrame="_blank" w:history="1">
        <w:r w:rsidRPr="00FB7BC2">
          <w:rPr>
            <w:rStyle w:val="Hyperlink"/>
          </w:rPr>
          <w:t>http://www.wto.org/english/tratop_e/serv_e/telecom_e/workshop_dec04_e/mitigating_regulatory_risk.pdf</w:t>
        </w:r>
      </w:hyperlink>
    </w:p>
    <w:p w:rsidR="001320E3" w:rsidRPr="002B2346" w:rsidRDefault="001320E3" w:rsidP="001320E3">
      <w:pPr>
        <w:pStyle w:val="Heading1"/>
        <w:numPr>
          <w:ilvl w:val="0"/>
          <w:numId w:val="10"/>
        </w:numPr>
      </w:pPr>
      <w:r>
        <w:t>CONTACT INFORMATION</w:t>
      </w:r>
    </w:p>
    <w:p w:rsidR="001320E3" w:rsidRDefault="001320E3" w:rsidP="001320E3">
      <w:pPr>
        <w:spacing w:before="120" w:after="0" w:line="23" w:lineRule="atLeast"/>
        <w:rPr>
          <w:rFonts w:cstheme="minorHAnsi"/>
          <w:i/>
        </w:rPr>
      </w:pPr>
      <w:proofErr w:type="spellStart"/>
      <w:r w:rsidRPr="00045763">
        <w:rPr>
          <w:rFonts w:ascii="Arial" w:hAnsi="Arial" w:cs="Arial"/>
          <w:b/>
          <w:color w:val="222222"/>
          <w:sz w:val="20"/>
          <w:szCs w:val="20"/>
          <w:shd w:val="clear" w:color="auto" w:fill="FFFFFF"/>
        </w:rPr>
        <w:t>Htaike</w:t>
      </w:r>
      <w:proofErr w:type="spellEnd"/>
      <w:r w:rsidRPr="00045763">
        <w:rPr>
          <w:rFonts w:ascii="Arial" w:hAnsi="Arial" w:cs="Arial"/>
          <w:b/>
          <w:color w:val="222222"/>
          <w:sz w:val="20"/>
          <w:szCs w:val="20"/>
          <w:shd w:val="clear" w:color="auto" w:fill="FFFFFF"/>
        </w:rPr>
        <w:t xml:space="preserve"> </w:t>
      </w:r>
      <w:proofErr w:type="spellStart"/>
      <w:r w:rsidRPr="00045763">
        <w:rPr>
          <w:rFonts w:ascii="Arial" w:hAnsi="Arial" w:cs="Arial"/>
          <w:b/>
          <w:color w:val="222222"/>
          <w:sz w:val="20"/>
          <w:szCs w:val="20"/>
          <w:shd w:val="clear" w:color="auto" w:fill="FFFFFF"/>
        </w:rPr>
        <w:t>Htaike</w:t>
      </w:r>
      <w:proofErr w:type="spellEnd"/>
      <w:r w:rsidRPr="00045763">
        <w:rPr>
          <w:rFonts w:ascii="Arial" w:hAnsi="Arial" w:cs="Arial"/>
          <w:b/>
          <w:color w:val="222222"/>
          <w:sz w:val="20"/>
          <w:szCs w:val="20"/>
          <w:shd w:val="clear" w:color="auto" w:fill="FFFFFF"/>
        </w:rPr>
        <w:t xml:space="preserve"> </w:t>
      </w:r>
      <w:proofErr w:type="spellStart"/>
      <w:r w:rsidRPr="00045763">
        <w:rPr>
          <w:rFonts w:ascii="Arial" w:hAnsi="Arial" w:cs="Arial"/>
          <w:b/>
          <w:color w:val="222222"/>
          <w:sz w:val="20"/>
          <w:szCs w:val="20"/>
          <w:shd w:val="clear" w:color="auto" w:fill="FFFFFF"/>
        </w:rPr>
        <w:t>Aung</w:t>
      </w:r>
      <w:proofErr w:type="spellEnd"/>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roofErr w:type="spellStart"/>
      <w:r w:rsidRPr="00162BA4">
        <w:rPr>
          <w:rFonts w:cstheme="minorHAnsi"/>
          <w:b/>
        </w:rPr>
        <w:t>Roshanthi</w:t>
      </w:r>
      <w:proofErr w:type="spellEnd"/>
      <w:r w:rsidRPr="00162BA4">
        <w:rPr>
          <w:rFonts w:cstheme="minorHAnsi"/>
          <w:b/>
        </w:rPr>
        <w:t xml:space="preserve"> Lucas </w:t>
      </w:r>
      <w:proofErr w:type="spellStart"/>
      <w:r w:rsidRPr="00162BA4">
        <w:rPr>
          <w:rFonts w:cstheme="minorHAnsi"/>
          <w:b/>
        </w:rPr>
        <w:t>Gunaratne</w:t>
      </w:r>
      <w:proofErr w:type="spellEnd"/>
      <w:r w:rsidRPr="00045763">
        <w:rPr>
          <w:rFonts w:ascii="Arial" w:hAnsi="Arial" w:cs="Arial"/>
          <w:b/>
          <w:color w:val="222222"/>
          <w:sz w:val="20"/>
          <w:szCs w:val="20"/>
        </w:rPr>
        <w:br/>
      </w:r>
      <w:r>
        <w:rPr>
          <w:rFonts w:ascii="Arial" w:hAnsi="Arial" w:cs="Arial"/>
          <w:color w:val="222222"/>
          <w:sz w:val="20"/>
          <w:szCs w:val="20"/>
          <w:shd w:val="clear" w:color="auto" w:fill="FFFFFF"/>
        </w:rPr>
        <w:t xml:space="preserve">Program Manager, MIDO </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sidRPr="00162BA4">
        <w:rPr>
          <w:rFonts w:cstheme="minorHAnsi"/>
        </w:rPr>
        <w:t>Research</w:t>
      </w:r>
      <w:r>
        <w:rPr>
          <w:rFonts w:cstheme="minorHAnsi"/>
        </w:rPr>
        <w:t xml:space="preserve"> Manager</w:t>
      </w:r>
      <w:r w:rsidRPr="00162BA4">
        <w:rPr>
          <w:rFonts w:cstheme="minorHAnsi"/>
        </w:rPr>
        <w:t>, LIRNE</w:t>
      </w:r>
      <w:r w:rsidRPr="00162BA4">
        <w:rPr>
          <w:rFonts w:cstheme="minorHAnsi"/>
          <w:i/>
        </w:rPr>
        <w:t>asia</w:t>
      </w:r>
    </w:p>
    <w:p w:rsidR="001320E3" w:rsidRPr="00045763" w:rsidRDefault="001320E3" w:rsidP="001320E3">
      <w:pPr>
        <w:spacing w:after="0" w:line="23" w:lineRule="atLeast"/>
        <w:rPr>
          <w:rFonts w:cstheme="minorHAnsi"/>
          <w:i/>
        </w:rPr>
      </w:pPr>
      <w:r>
        <w:rPr>
          <w:rFonts w:ascii="Arial" w:hAnsi="Arial" w:cs="Arial"/>
          <w:color w:val="222222"/>
          <w:sz w:val="20"/>
          <w:szCs w:val="20"/>
          <w:shd w:val="clear" w:color="auto" w:fill="FFFFFF"/>
        </w:rPr>
        <w:t xml:space="preserve">Mobile: +95 9 430 25529 </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sidRPr="00E558BA">
        <w:rPr>
          <w:rFonts w:cstheme="minorHAnsi"/>
        </w:rPr>
        <w:t>Mobile: +94 (0)770223249</w:t>
      </w:r>
    </w:p>
    <w:p w:rsidR="001320E3" w:rsidRPr="000E08B2" w:rsidRDefault="001320E3" w:rsidP="001320E3">
      <w:pPr>
        <w:spacing w:after="0" w:line="23" w:lineRule="atLeast"/>
      </w:pPr>
      <w:r>
        <w:t xml:space="preserve">Email: </w:t>
      </w:r>
      <w:hyperlink r:id="rId20" w:tgtFrame="_blank" w:history="1">
        <w:r w:rsidRPr="00045763">
          <w:rPr>
            <w:rStyle w:val="Hyperlink"/>
            <w:rFonts w:cstheme="minorHAnsi"/>
          </w:rPr>
          <w:t>htaike2aung@gmail.com</w:t>
        </w:r>
      </w:hyperlink>
      <w:r w:rsidRPr="00045763">
        <w:rPr>
          <w:rStyle w:val="Hyperlink"/>
        </w:rPr>
        <w:t xml:space="preserve"> </w:t>
      </w:r>
      <w:r w:rsidRPr="00045763">
        <w:rPr>
          <w:rStyle w:val="Hyperlink"/>
        </w:rPr>
        <w:tab/>
      </w:r>
      <w:r>
        <w:rPr>
          <w:rFonts w:cstheme="minorHAnsi"/>
        </w:rPr>
        <w:tab/>
      </w:r>
      <w:r>
        <w:rPr>
          <w:rFonts w:cstheme="minorHAnsi"/>
        </w:rPr>
        <w:tab/>
      </w:r>
      <w:r>
        <w:rPr>
          <w:rFonts w:cstheme="minorHAnsi"/>
        </w:rPr>
        <w:tab/>
      </w:r>
      <w:r>
        <w:rPr>
          <w:rFonts w:cstheme="minorHAnsi"/>
        </w:rPr>
        <w:tab/>
      </w:r>
      <w:r>
        <w:rPr>
          <w:rFonts w:cstheme="minorHAnsi"/>
        </w:rPr>
        <w:tab/>
        <w:t xml:space="preserve">Email: </w:t>
      </w:r>
      <w:hyperlink r:id="rId21" w:history="1">
        <w:r w:rsidRPr="00162BA4">
          <w:rPr>
            <w:rStyle w:val="Hyperlink"/>
            <w:rFonts w:cstheme="minorHAnsi"/>
          </w:rPr>
          <w:t>roshanthi@lirneasia.net</w:t>
        </w:r>
      </w:hyperlink>
      <w:r w:rsidRPr="00162BA4">
        <w:rPr>
          <w:rFonts w:cstheme="minorHAnsi"/>
        </w:rPr>
        <w:t xml:space="preserve"> </w:t>
      </w:r>
    </w:p>
    <w:p w:rsidR="001320E3" w:rsidRPr="000E08B2" w:rsidRDefault="001320E3" w:rsidP="001320E3">
      <w:pPr>
        <w:spacing w:before="120" w:after="0" w:line="23" w:lineRule="atLeast"/>
      </w:pPr>
      <w:r>
        <w:rPr>
          <w:rFonts w:ascii="Arial" w:hAnsi="Arial" w:cs="Arial"/>
          <w:color w:val="222222"/>
          <w:sz w:val="20"/>
          <w:szCs w:val="20"/>
        </w:rPr>
        <w:br/>
      </w:r>
    </w:p>
    <w:p w:rsidR="0039154B" w:rsidRDefault="0039154B">
      <w:pPr>
        <w:rPr>
          <w:rStyle w:val="Hyperlink"/>
        </w:rPr>
      </w:pPr>
      <w:r>
        <w:rPr>
          <w:rStyle w:val="Hyperlink"/>
        </w:rPr>
        <w:br w:type="page"/>
      </w:r>
    </w:p>
    <w:p w:rsidR="00A73C5A" w:rsidRPr="0039154B" w:rsidRDefault="0039154B" w:rsidP="0039154B">
      <w:pPr>
        <w:pStyle w:val="Heading1"/>
        <w:rPr>
          <w:rStyle w:val="Hyperlink"/>
          <w:color w:val="365F91" w:themeColor="accent1" w:themeShade="BF"/>
          <w:u w:val="none"/>
        </w:rPr>
      </w:pPr>
      <w:r w:rsidRPr="0039154B">
        <w:rPr>
          <w:rStyle w:val="Hyperlink"/>
          <w:color w:val="365F91" w:themeColor="accent1" w:themeShade="BF"/>
          <w:u w:val="none"/>
        </w:rPr>
        <w:lastRenderedPageBreak/>
        <w:t>Annex 2</w:t>
      </w:r>
      <w:r w:rsidR="00A84E19">
        <w:rPr>
          <w:rStyle w:val="Hyperlink"/>
          <w:color w:val="365F91" w:themeColor="accent1" w:themeShade="BF"/>
          <w:u w:val="none"/>
        </w:rPr>
        <w:t xml:space="preserve"> – Participant List</w:t>
      </w:r>
    </w:p>
    <w:p w:rsidR="0039154B" w:rsidRPr="0039154B" w:rsidRDefault="0039154B" w:rsidP="0039154B"/>
    <w:tbl>
      <w:tblPr>
        <w:tblW w:w="8475" w:type="dxa"/>
        <w:tblInd w:w="93" w:type="dxa"/>
        <w:tblLook w:val="04A0" w:firstRow="1" w:lastRow="0" w:firstColumn="1" w:lastColumn="0" w:noHBand="0" w:noVBand="1"/>
      </w:tblPr>
      <w:tblGrid>
        <w:gridCol w:w="465"/>
        <w:gridCol w:w="3240"/>
        <w:gridCol w:w="990"/>
        <w:gridCol w:w="3780"/>
      </w:tblGrid>
      <w:tr w:rsidR="0039154B" w:rsidRPr="0039154B" w:rsidTr="0039154B">
        <w:trPr>
          <w:trHeight w:val="822"/>
        </w:trPr>
        <w:tc>
          <w:tcPr>
            <w:tcW w:w="465" w:type="dxa"/>
            <w:tcBorders>
              <w:top w:val="single" w:sz="4" w:space="0" w:color="auto"/>
              <w:left w:val="single" w:sz="4" w:space="0" w:color="auto"/>
              <w:bottom w:val="single" w:sz="4" w:space="0" w:color="auto"/>
              <w:right w:val="single" w:sz="4" w:space="0" w:color="auto"/>
            </w:tcBorders>
          </w:tcPr>
          <w:p w:rsidR="0039154B" w:rsidRPr="0039154B" w:rsidRDefault="0039154B" w:rsidP="0039154B">
            <w:pPr>
              <w:spacing w:after="0" w:line="240" w:lineRule="auto"/>
              <w:jc w:val="center"/>
              <w:rPr>
                <w:rFonts w:eastAsia="Times New Roman" w:cstheme="minorHAnsi"/>
                <w:b/>
                <w:bCs/>
                <w:color w:val="000000"/>
                <w:sz w:val="24"/>
                <w:szCs w:val="24"/>
                <w:lang w:bidi="ar-SA"/>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b/>
                <w:bCs/>
                <w:color w:val="000000"/>
                <w:sz w:val="24"/>
                <w:szCs w:val="24"/>
                <w:lang w:bidi="ar-SA"/>
              </w:rPr>
            </w:pPr>
            <w:r w:rsidRPr="0039154B">
              <w:rPr>
                <w:rFonts w:eastAsia="Times New Roman" w:cstheme="minorHAnsi"/>
                <w:b/>
                <w:bCs/>
                <w:color w:val="000000"/>
                <w:sz w:val="24"/>
                <w:szCs w:val="24"/>
                <w:lang w:bidi="ar-SA"/>
              </w:rPr>
              <w:t>Name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b/>
                <w:bCs/>
                <w:color w:val="000000"/>
                <w:sz w:val="24"/>
                <w:szCs w:val="24"/>
                <w:lang w:bidi="ar-SA"/>
              </w:rPr>
            </w:pPr>
            <w:r w:rsidRPr="0039154B">
              <w:rPr>
                <w:rFonts w:eastAsia="Times New Roman" w:cstheme="minorHAnsi"/>
                <w:b/>
                <w:bCs/>
                <w:color w:val="000000"/>
                <w:sz w:val="24"/>
                <w:szCs w:val="24"/>
                <w:lang w:bidi="ar-SA"/>
              </w:rPr>
              <w:t>Gender</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b/>
                <w:bCs/>
                <w:color w:val="000000"/>
                <w:sz w:val="24"/>
                <w:szCs w:val="24"/>
                <w:lang w:bidi="ar-SA"/>
              </w:rPr>
            </w:pPr>
            <w:r w:rsidRPr="0039154B">
              <w:rPr>
                <w:rFonts w:eastAsia="Times New Roman" w:cstheme="minorHAnsi"/>
                <w:b/>
                <w:bCs/>
                <w:color w:val="000000"/>
                <w:sz w:val="24"/>
                <w:szCs w:val="24"/>
                <w:lang w:bidi="ar-SA"/>
              </w:rPr>
              <w:t>Organization</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1</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Aung</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Phyo</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Wai</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UNT Law</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Aye </w:t>
            </w:r>
            <w:proofErr w:type="spellStart"/>
            <w:r w:rsidRPr="0039154B">
              <w:rPr>
                <w:rFonts w:eastAsia="Times New Roman" w:cstheme="minorHAnsi"/>
                <w:color w:val="000000"/>
                <w:sz w:val="24"/>
                <w:szCs w:val="24"/>
                <w:lang w:bidi="ar-SA"/>
              </w:rPr>
              <w:t>Aye</w:t>
            </w:r>
            <w:proofErr w:type="spellEnd"/>
            <w:r w:rsidRPr="0039154B">
              <w:rPr>
                <w:rFonts w:eastAsia="Times New Roman" w:cstheme="minorHAnsi"/>
                <w:color w:val="000000"/>
                <w:sz w:val="24"/>
                <w:szCs w:val="24"/>
                <w:lang w:bidi="ar-SA"/>
              </w:rPr>
              <w:t xml:space="preserve"> Than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MCIT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3</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Hein </w:t>
            </w:r>
            <w:proofErr w:type="spellStart"/>
            <w:r w:rsidRPr="0039154B">
              <w:rPr>
                <w:rFonts w:eastAsia="Times New Roman" w:cstheme="minorHAnsi"/>
                <w:color w:val="000000"/>
                <w:sz w:val="24"/>
                <w:szCs w:val="24"/>
                <w:lang w:bidi="ar-SA"/>
              </w:rPr>
              <w:t>Aung</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Zaw</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Virtual Resource Center</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4</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Hla</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Hla</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Khine</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MCIT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5</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Hla</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Myo</w:t>
            </w:r>
            <w:proofErr w:type="spellEnd"/>
            <w:r w:rsidRPr="0039154B">
              <w:rPr>
                <w:rFonts w:eastAsia="Times New Roman" w:cstheme="minorHAnsi"/>
                <w:color w:val="000000"/>
                <w:sz w:val="24"/>
                <w:szCs w:val="24"/>
                <w:lang w:bidi="ar-SA"/>
              </w:rPr>
              <w:t xml:space="preserve"> Win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NLD</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6</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Htaike</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Htaike</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Aung</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7</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Htet</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Aung</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88 Generations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8</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Kaday</w:t>
            </w:r>
            <w:proofErr w:type="spellEnd"/>
            <w:r>
              <w:rPr>
                <w:rFonts w:eastAsia="Times New Roman" w:cstheme="minorHAnsi"/>
                <w:color w:val="000000"/>
                <w:sz w:val="24"/>
                <w:szCs w:val="24"/>
                <w:lang w:bidi="ar-SA"/>
              </w:rPr>
              <w:t xml:space="preserve"> Thu</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Myanmar Development Partners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9</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Myo</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Kyaw</w:t>
            </w:r>
            <w:proofErr w:type="spellEnd"/>
            <w:r>
              <w:rPr>
                <w:rFonts w:eastAsia="Times New Roman" w:cstheme="minorHAnsi"/>
                <w:color w:val="000000"/>
                <w:sz w:val="24"/>
                <w:szCs w:val="24"/>
                <w:lang w:bidi="ar-SA"/>
              </w:rPr>
              <w:t xml:space="preserve"> Thu </w:t>
            </w:r>
            <w:proofErr w:type="spellStart"/>
            <w:r>
              <w:rPr>
                <w:rFonts w:eastAsia="Times New Roman" w:cstheme="minorHAnsi"/>
                <w:color w:val="000000"/>
                <w:sz w:val="24"/>
                <w:szCs w:val="24"/>
                <w:lang w:bidi="ar-SA"/>
              </w:rPr>
              <w:t>Myint</w:t>
            </w:r>
            <w:proofErr w:type="spellEnd"/>
            <w:r>
              <w:rPr>
                <w:rFonts w:eastAsia="Times New Roman" w:cstheme="minorHAnsi"/>
                <w:color w:val="000000"/>
                <w:sz w:val="24"/>
                <w:szCs w:val="24"/>
                <w:lang w:bidi="ar-S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Digital Alternatives/SEED</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10</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Khin</w:t>
            </w:r>
            <w:proofErr w:type="spellEnd"/>
            <w:r>
              <w:rPr>
                <w:rFonts w:eastAsia="Times New Roman" w:cstheme="minorHAnsi"/>
                <w:color w:val="000000"/>
                <w:sz w:val="24"/>
                <w:szCs w:val="24"/>
                <w:lang w:bidi="ar-SA"/>
              </w:rPr>
              <w:t xml:space="preserve"> Thu </w:t>
            </w:r>
            <w:proofErr w:type="spellStart"/>
            <w:r>
              <w:rPr>
                <w:rFonts w:eastAsia="Times New Roman" w:cstheme="minorHAnsi"/>
                <w:color w:val="000000"/>
                <w:sz w:val="24"/>
                <w:szCs w:val="24"/>
                <w:lang w:bidi="ar-SA"/>
              </w:rPr>
              <w:t>Zar</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Kyaw</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MCIT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11</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Kyaw</w:t>
            </w:r>
            <w:proofErr w:type="spellEnd"/>
            <w:r>
              <w:rPr>
                <w:rFonts w:eastAsia="Times New Roman" w:cstheme="minorHAnsi"/>
                <w:color w:val="000000"/>
                <w:sz w:val="24"/>
                <w:szCs w:val="24"/>
                <w:lang w:bidi="ar-SA"/>
              </w:rPr>
              <w:t xml:space="preserve"> Win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Internet Journal/7 Days Media</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12</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Kyaw</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Wanna</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Redlink</w:t>
            </w:r>
            <w:proofErr w:type="spellEnd"/>
            <w:r>
              <w:rPr>
                <w:rFonts w:eastAsia="Times New Roman" w:cstheme="minorHAnsi"/>
                <w:color w:val="000000"/>
                <w:sz w:val="24"/>
                <w:szCs w:val="24"/>
                <w:lang w:bidi="ar-SA"/>
              </w:rPr>
              <w:t xml:space="preserve"> Communications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13</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Myat</w:t>
            </w:r>
            <w:proofErr w:type="spellEnd"/>
            <w:r>
              <w:rPr>
                <w:rFonts w:eastAsia="Times New Roman" w:cstheme="minorHAnsi"/>
                <w:color w:val="000000"/>
                <w:sz w:val="24"/>
                <w:szCs w:val="24"/>
                <w:lang w:bidi="ar-SA"/>
              </w:rPr>
              <w:t xml:space="preserve"> Min Han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Rebbiz</w:t>
            </w:r>
            <w:proofErr w:type="spellEnd"/>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14</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 xml:space="preserve">Nang </w:t>
            </w:r>
            <w:proofErr w:type="spellStart"/>
            <w:r>
              <w:rPr>
                <w:rFonts w:eastAsia="Times New Roman" w:cstheme="minorHAnsi"/>
                <w:color w:val="000000"/>
                <w:sz w:val="24"/>
                <w:szCs w:val="24"/>
                <w:lang w:bidi="ar-SA"/>
              </w:rPr>
              <w:t>Nyi</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15</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 xml:space="preserve">Nay Phone </w:t>
            </w:r>
            <w:proofErr w:type="spellStart"/>
            <w:r>
              <w:rPr>
                <w:rFonts w:eastAsia="Times New Roman" w:cstheme="minorHAnsi"/>
                <w:color w:val="000000"/>
                <w:sz w:val="24"/>
                <w:szCs w:val="24"/>
                <w:lang w:bidi="ar-SA"/>
              </w:rPr>
              <w:t>Latt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16</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 xml:space="preserve">Nay </w:t>
            </w:r>
            <w:proofErr w:type="spellStart"/>
            <w:r>
              <w:rPr>
                <w:rFonts w:eastAsia="Times New Roman" w:cstheme="minorHAnsi"/>
                <w:color w:val="000000"/>
                <w:sz w:val="24"/>
                <w:szCs w:val="24"/>
                <w:lang w:bidi="ar-SA"/>
              </w:rPr>
              <w:t>Tun</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Digital Alternatives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17</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Nyunt</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Aung</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NLD</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18</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Phyu</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Phyu</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Thi</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19</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Seint</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Seint</w:t>
            </w:r>
            <w:proofErr w:type="spellEnd"/>
            <w:r>
              <w:rPr>
                <w:rFonts w:eastAsia="Times New Roman" w:cstheme="minorHAnsi"/>
                <w:color w:val="000000"/>
                <w:sz w:val="24"/>
                <w:szCs w:val="24"/>
                <w:lang w:bidi="ar-SA"/>
              </w:rPr>
              <w:t xml:space="preserve"> Aye</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MCIT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20</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 xml:space="preserve">Su </w:t>
            </w:r>
            <w:proofErr w:type="spellStart"/>
            <w:r>
              <w:rPr>
                <w:rFonts w:eastAsia="Times New Roman" w:cstheme="minorHAnsi"/>
                <w:color w:val="000000"/>
                <w:sz w:val="24"/>
                <w:szCs w:val="24"/>
                <w:lang w:bidi="ar-SA"/>
              </w:rPr>
              <w:t>Wai</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Phyo</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Myanmar Development Partners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21</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proofErr w:type="spellStart"/>
            <w:r>
              <w:rPr>
                <w:rFonts w:eastAsia="Times New Roman" w:cstheme="minorHAnsi"/>
                <w:color w:val="000000"/>
                <w:sz w:val="24"/>
                <w:szCs w:val="24"/>
                <w:lang w:bidi="ar-SA"/>
              </w:rPr>
              <w:t>Thida</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Tun</w:t>
            </w:r>
            <w:proofErr w:type="spellEnd"/>
            <w:r>
              <w:rPr>
                <w:rFonts w:eastAsia="Times New Roman" w:cstheme="minorHAnsi"/>
                <w:color w:val="000000"/>
                <w:sz w:val="24"/>
                <w:szCs w:val="24"/>
                <w:lang w:bidi="ar-SA"/>
              </w:rPr>
              <w:t xml:space="preserve"> San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pBdr>
                <w:bottom w:val="single" w:sz="8" w:space="4" w:color="4F81BD" w:themeColor="accent1"/>
              </w:pBdr>
              <w:spacing w:after="0" w:line="240" w:lineRule="auto"/>
              <w:contextualSpacing/>
              <w:rPr>
                <w:rFonts w:eastAsia="Times New Roman" w:cstheme="minorHAnsi"/>
                <w:color w:val="000000"/>
                <w:sz w:val="24"/>
                <w:szCs w:val="24"/>
                <w:lang w:bidi="ar-SA"/>
              </w:rPr>
            </w:pPr>
            <w:r>
              <w:rPr>
                <w:rFonts w:eastAsia="Times New Roman" w:cstheme="minorHAnsi"/>
                <w:color w:val="000000"/>
                <w:sz w:val="24"/>
                <w:szCs w:val="24"/>
                <w:lang w:bidi="ar-SA"/>
              </w:rPr>
              <w:t>MCIT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shd w:val="clear" w:color="auto" w:fill="auto"/>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22</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 xml:space="preserve">Tin </w:t>
            </w:r>
            <w:proofErr w:type="spellStart"/>
            <w:r>
              <w:rPr>
                <w:rFonts w:eastAsia="Times New Roman" w:cstheme="minorHAnsi"/>
                <w:color w:val="000000"/>
                <w:sz w:val="24"/>
                <w:szCs w:val="24"/>
                <w:lang w:bidi="ar-SA"/>
              </w:rPr>
              <w:t>Nyi</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Nyi</w:t>
            </w:r>
            <w:proofErr w:type="spellEnd"/>
            <w:r>
              <w:rPr>
                <w:rFonts w:eastAsia="Times New Roman" w:cstheme="minorHAnsi"/>
                <w:color w:val="000000"/>
                <w:sz w:val="24"/>
                <w:szCs w:val="24"/>
                <w:lang w:bidi="ar-SA"/>
              </w:rPr>
              <w:t xml:space="preserve"> </w:t>
            </w:r>
            <w:proofErr w:type="spellStart"/>
            <w:r>
              <w:rPr>
                <w:rFonts w:eastAsia="Times New Roman" w:cstheme="minorHAnsi"/>
                <w:color w:val="000000"/>
                <w:sz w:val="24"/>
                <w:szCs w:val="24"/>
                <w:lang w:bidi="ar-SA"/>
              </w:rPr>
              <w:t>Latt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jc w:val="center"/>
              <w:rPr>
                <w:rFonts w:eastAsia="Times New Roman" w:cstheme="minorHAnsi"/>
                <w:color w:val="000000"/>
                <w:sz w:val="24"/>
                <w:szCs w:val="24"/>
                <w:lang w:bidi="ar-SA"/>
              </w:rPr>
            </w:pPr>
            <w:r>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F6786F" w:rsidP="0039154B">
            <w:pPr>
              <w:spacing w:after="0" w:line="240" w:lineRule="auto"/>
              <w:rPr>
                <w:rFonts w:eastAsia="Times New Roman" w:cstheme="minorHAnsi"/>
                <w:color w:val="000000"/>
                <w:sz w:val="24"/>
                <w:szCs w:val="24"/>
                <w:lang w:bidi="ar-SA"/>
              </w:rPr>
            </w:pPr>
            <w:r>
              <w:rPr>
                <w:rFonts w:eastAsia="Times New Roman" w:cstheme="minorHAnsi"/>
                <w:color w:val="000000"/>
                <w:sz w:val="24"/>
                <w:szCs w:val="24"/>
                <w:lang w:bidi="ar-SA"/>
              </w:rPr>
              <w:t>Myanmar Development Partners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23</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Tin Sandi </w:t>
            </w:r>
            <w:proofErr w:type="spellStart"/>
            <w:r w:rsidRPr="0039154B">
              <w:rPr>
                <w:rFonts w:eastAsia="Times New Roman" w:cstheme="minorHAnsi"/>
                <w:color w:val="000000"/>
                <w:sz w:val="24"/>
                <w:szCs w:val="24"/>
                <w:lang w:bidi="ar-SA"/>
              </w:rPr>
              <w:t>Koe</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UNT Law</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24</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Wai</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Myo</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Htut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25</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Yatanar</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Htun</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MIDO</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26</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Ye </w:t>
            </w:r>
            <w:proofErr w:type="spellStart"/>
            <w:r w:rsidRPr="0039154B">
              <w:rPr>
                <w:rFonts w:eastAsia="Times New Roman" w:cstheme="minorHAnsi"/>
                <w:color w:val="000000"/>
                <w:sz w:val="24"/>
                <w:szCs w:val="24"/>
                <w:lang w:bidi="ar-SA"/>
              </w:rPr>
              <w:t>Tun</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Aung</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MyanSar</w:t>
            </w:r>
            <w:proofErr w:type="spellEnd"/>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27</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Zar</w:t>
            </w:r>
            <w:proofErr w:type="spellEnd"/>
            <w:r w:rsidRPr="0039154B">
              <w:rPr>
                <w:rFonts w:eastAsia="Times New Roman" w:cstheme="minorHAnsi"/>
                <w:color w:val="000000"/>
                <w:sz w:val="24"/>
                <w:szCs w:val="24"/>
                <w:lang w:bidi="ar-SA"/>
              </w:rPr>
              <w:t xml:space="preserve"> Chi Aye</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Modern Media</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28</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Zaw</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Thurein</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Tun</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MCPA (</w:t>
            </w:r>
            <w:proofErr w:type="spellStart"/>
            <w:r w:rsidRPr="0039154B">
              <w:rPr>
                <w:rFonts w:eastAsia="Times New Roman" w:cstheme="minorHAnsi"/>
                <w:color w:val="000000"/>
                <w:sz w:val="24"/>
                <w:szCs w:val="24"/>
                <w:lang w:bidi="ar-SA"/>
              </w:rPr>
              <w:t>Monywa</w:t>
            </w:r>
            <w:proofErr w:type="spellEnd"/>
            <w:r w:rsidRPr="0039154B">
              <w:rPr>
                <w:rFonts w:eastAsia="Times New Roman" w:cstheme="minorHAnsi"/>
                <w:color w:val="000000"/>
                <w:sz w:val="24"/>
                <w:szCs w:val="24"/>
                <w:lang w:bidi="ar-SA"/>
              </w:rPr>
              <w: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29</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Zaw</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Zaw</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Myo</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Lwin</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MBS</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30</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proofErr w:type="spellStart"/>
            <w:r w:rsidRPr="0039154B">
              <w:rPr>
                <w:rFonts w:eastAsia="Times New Roman" w:cstheme="minorHAnsi"/>
                <w:color w:val="000000"/>
                <w:sz w:val="24"/>
                <w:szCs w:val="24"/>
                <w:lang w:bidi="ar-SA"/>
              </w:rPr>
              <w:t>Khin</w:t>
            </w:r>
            <w:proofErr w:type="spellEnd"/>
            <w:r w:rsidRPr="0039154B">
              <w:rPr>
                <w:rFonts w:eastAsia="Times New Roman" w:cstheme="minorHAnsi"/>
                <w:color w:val="000000"/>
                <w:sz w:val="24"/>
                <w:szCs w:val="24"/>
                <w:lang w:bidi="ar-SA"/>
              </w:rPr>
              <w:t xml:space="preserve"> </w:t>
            </w:r>
            <w:proofErr w:type="spellStart"/>
            <w:r w:rsidRPr="0039154B">
              <w:rPr>
                <w:rFonts w:eastAsia="Times New Roman" w:cstheme="minorHAnsi"/>
                <w:color w:val="000000"/>
                <w:sz w:val="24"/>
                <w:szCs w:val="24"/>
                <w:lang w:bidi="ar-SA"/>
              </w:rPr>
              <w:t>Nwe</w:t>
            </w:r>
            <w:proofErr w:type="spellEnd"/>
            <w:r w:rsidRPr="0039154B">
              <w:rPr>
                <w:rFonts w:eastAsia="Times New Roman" w:cstheme="minorHAnsi"/>
                <w:color w:val="000000"/>
                <w:sz w:val="24"/>
                <w:szCs w:val="24"/>
                <w:lang w:bidi="ar-SA"/>
              </w:rPr>
              <w:t xml:space="preserve"> Win</w:t>
            </w:r>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F</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MCPA (</w:t>
            </w:r>
            <w:proofErr w:type="spellStart"/>
            <w:r w:rsidRPr="0039154B">
              <w:rPr>
                <w:rFonts w:eastAsia="Times New Roman" w:cstheme="minorHAnsi"/>
                <w:color w:val="000000"/>
                <w:sz w:val="24"/>
                <w:szCs w:val="24"/>
                <w:lang w:bidi="ar-SA"/>
              </w:rPr>
              <w:t>Taungoo</w:t>
            </w:r>
            <w:proofErr w:type="spellEnd"/>
            <w:r w:rsidRPr="0039154B">
              <w:rPr>
                <w:rFonts w:eastAsia="Times New Roman" w:cstheme="minorHAnsi"/>
                <w:color w:val="000000"/>
                <w:sz w:val="24"/>
                <w:szCs w:val="24"/>
                <w:lang w:bidi="ar-SA"/>
              </w:rPr>
              <w:t>)</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31</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Paw </w:t>
            </w:r>
            <w:proofErr w:type="spellStart"/>
            <w:r w:rsidRPr="0039154B">
              <w:rPr>
                <w:rFonts w:eastAsia="Times New Roman" w:cstheme="minorHAnsi"/>
                <w:color w:val="000000"/>
                <w:sz w:val="24"/>
                <w:szCs w:val="24"/>
                <w:lang w:bidi="ar-SA"/>
              </w:rPr>
              <w:t>Oo</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MCPA</w:t>
            </w:r>
          </w:p>
        </w:tc>
      </w:tr>
      <w:tr w:rsidR="0039154B" w:rsidRPr="0039154B" w:rsidTr="0039154B">
        <w:trPr>
          <w:trHeight w:val="315"/>
        </w:trPr>
        <w:tc>
          <w:tcPr>
            <w:tcW w:w="465" w:type="dxa"/>
            <w:tcBorders>
              <w:top w:val="nil"/>
              <w:left w:val="single" w:sz="4" w:space="0" w:color="auto"/>
              <w:bottom w:val="single" w:sz="4" w:space="0" w:color="auto"/>
              <w:right w:val="single" w:sz="4" w:space="0" w:color="auto"/>
            </w:tcBorders>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32</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 xml:space="preserve">Min Thu </w:t>
            </w:r>
            <w:proofErr w:type="spellStart"/>
            <w:r w:rsidRPr="0039154B">
              <w:rPr>
                <w:rFonts w:eastAsia="Times New Roman" w:cstheme="minorHAnsi"/>
                <w:color w:val="000000"/>
                <w:sz w:val="24"/>
                <w:szCs w:val="24"/>
                <w:lang w:bidi="ar-SA"/>
              </w:rPr>
              <w:t>Kyaw</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jc w:val="center"/>
              <w:rPr>
                <w:rFonts w:eastAsia="Times New Roman" w:cstheme="minorHAnsi"/>
                <w:color w:val="000000"/>
                <w:sz w:val="24"/>
                <w:szCs w:val="24"/>
                <w:lang w:bidi="ar-SA"/>
              </w:rPr>
            </w:pPr>
            <w:r w:rsidRPr="0039154B">
              <w:rPr>
                <w:rFonts w:eastAsia="Times New Roman" w:cstheme="minorHAnsi"/>
                <w:color w:val="000000"/>
                <w:sz w:val="24"/>
                <w:szCs w:val="24"/>
                <w:lang w:bidi="ar-SA"/>
              </w:rPr>
              <w:t>M</w:t>
            </w:r>
          </w:p>
        </w:tc>
        <w:tc>
          <w:tcPr>
            <w:tcW w:w="3780" w:type="dxa"/>
            <w:tcBorders>
              <w:top w:val="nil"/>
              <w:left w:val="nil"/>
              <w:bottom w:val="single" w:sz="4" w:space="0" w:color="auto"/>
              <w:right w:val="single" w:sz="4" w:space="0" w:color="auto"/>
            </w:tcBorders>
            <w:shd w:val="clear" w:color="auto" w:fill="auto"/>
            <w:noWrap/>
            <w:vAlign w:val="center"/>
            <w:hideMark/>
          </w:tcPr>
          <w:p w:rsidR="0039154B" w:rsidRPr="0039154B" w:rsidRDefault="0039154B" w:rsidP="0039154B">
            <w:pPr>
              <w:spacing w:after="0" w:line="240" w:lineRule="auto"/>
              <w:rPr>
                <w:rFonts w:eastAsia="Times New Roman" w:cstheme="minorHAnsi"/>
                <w:color w:val="000000"/>
                <w:sz w:val="24"/>
                <w:szCs w:val="24"/>
                <w:lang w:bidi="ar-SA"/>
              </w:rPr>
            </w:pPr>
            <w:r w:rsidRPr="0039154B">
              <w:rPr>
                <w:rFonts w:eastAsia="Times New Roman" w:cstheme="minorHAnsi"/>
                <w:color w:val="000000"/>
                <w:sz w:val="24"/>
                <w:szCs w:val="24"/>
                <w:lang w:bidi="ar-SA"/>
              </w:rPr>
              <w:t>MCPA (</w:t>
            </w:r>
            <w:proofErr w:type="spellStart"/>
            <w:r w:rsidRPr="0039154B">
              <w:rPr>
                <w:rFonts w:eastAsia="Times New Roman" w:cstheme="minorHAnsi"/>
                <w:color w:val="000000"/>
                <w:sz w:val="24"/>
                <w:szCs w:val="24"/>
                <w:lang w:bidi="ar-SA"/>
              </w:rPr>
              <w:t>Pyay</w:t>
            </w:r>
            <w:proofErr w:type="spellEnd"/>
            <w:r w:rsidRPr="0039154B">
              <w:rPr>
                <w:rFonts w:eastAsia="Times New Roman" w:cstheme="minorHAnsi"/>
                <w:color w:val="000000"/>
                <w:sz w:val="24"/>
                <w:szCs w:val="24"/>
                <w:lang w:bidi="ar-SA"/>
              </w:rPr>
              <w:t>)</w:t>
            </w:r>
          </w:p>
        </w:tc>
      </w:tr>
    </w:tbl>
    <w:p w:rsidR="0039154B" w:rsidRPr="0039154B" w:rsidRDefault="0039154B" w:rsidP="0039154B"/>
    <w:sectPr w:rsidR="0039154B" w:rsidRPr="0039154B" w:rsidSect="00E90655">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8F" w:rsidRDefault="0036098F" w:rsidP="00940F2C">
      <w:pPr>
        <w:spacing w:after="0" w:line="240" w:lineRule="auto"/>
      </w:pPr>
      <w:r>
        <w:separator/>
      </w:r>
    </w:p>
  </w:endnote>
  <w:endnote w:type="continuationSeparator" w:id="0">
    <w:p w:rsidR="0036098F" w:rsidRDefault="0036098F" w:rsidP="0094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48607"/>
      <w:docPartObj>
        <w:docPartGallery w:val="Page Numbers (Bottom of Page)"/>
        <w:docPartUnique/>
      </w:docPartObj>
    </w:sdtPr>
    <w:sdtEndPr>
      <w:rPr>
        <w:noProof/>
      </w:rPr>
    </w:sdtEndPr>
    <w:sdtContent>
      <w:p w:rsidR="00DC37F1" w:rsidRDefault="00F6786F">
        <w:pPr>
          <w:pStyle w:val="Footer"/>
          <w:jc w:val="right"/>
        </w:pPr>
        <w:r>
          <w:fldChar w:fldCharType="begin"/>
        </w:r>
        <w:r w:rsidR="009E091A">
          <w:instrText xml:space="preserve"> PAGE   \* MERGEFORMAT </w:instrText>
        </w:r>
        <w:r>
          <w:fldChar w:fldCharType="separate"/>
        </w:r>
        <w:r w:rsidR="006F3795">
          <w:rPr>
            <w:noProof/>
          </w:rPr>
          <w:t>9</w:t>
        </w:r>
        <w:r>
          <w:rPr>
            <w:noProof/>
          </w:rPr>
          <w:fldChar w:fldCharType="end"/>
        </w:r>
      </w:p>
    </w:sdtContent>
  </w:sdt>
  <w:p w:rsidR="00DC37F1" w:rsidRDefault="00DC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25738"/>
      <w:docPartObj>
        <w:docPartGallery w:val="Page Numbers (Bottom of Page)"/>
        <w:docPartUnique/>
      </w:docPartObj>
    </w:sdtPr>
    <w:sdtEndPr>
      <w:rPr>
        <w:noProof/>
      </w:rPr>
    </w:sdtEndPr>
    <w:sdtContent>
      <w:p w:rsidR="00E90655" w:rsidRDefault="00F6786F">
        <w:pPr>
          <w:pStyle w:val="Footer"/>
          <w:jc w:val="right"/>
        </w:pPr>
        <w:r>
          <w:fldChar w:fldCharType="begin"/>
        </w:r>
        <w:r w:rsidR="00E90655">
          <w:instrText xml:space="preserve"> PAGE   \* MERGEFORMAT </w:instrText>
        </w:r>
        <w:r>
          <w:fldChar w:fldCharType="separate"/>
        </w:r>
        <w:r w:rsidR="006F3795">
          <w:rPr>
            <w:noProof/>
          </w:rPr>
          <w:t>1</w:t>
        </w:r>
        <w:r>
          <w:rPr>
            <w:noProof/>
          </w:rPr>
          <w:fldChar w:fldCharType="end"/>
        </w:r>
      </w:p>
    </w:sdtContent>
  </w:sdt>
  <w:p w:rsidR="00E90655" w:rsidRDefault="00E9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8F" w:rsidRDefault="0036098F" w:rsidP="00940F2C">
      <w:pPr>
        <w:spacing w:after="0" w:line="240" w:lineRule="auto"/>
      </w:pPr>
      <w:r>
        <w:separator/>
      </w:r>
    </w:p>
  </w:footnote>
  <w:footnote w:type="continuationSeparator" w:id="0">
    <w:p w:rsidR="0036098F" w:rsidRDefault="0036098F" w:rsidP="00940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75" w:rsidRPr="00D46675" w:rsidRDefault="00D46675" w:rsidP="00D46675">
    <w:pPr>
      <w:pStyle w:val="Header"/>
    </w:pPr>
    <w:r w:rsidRPr="00D46675">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7724775</wp:posOffset>
          </wp:positionV>
          <wp:extent cx="2105025" cy="609600"/>
          <wp:effectExtent l="19050" t="0" r="9525" b="0"/>
          <wp:wrapNone/>
          <wp:docPr id="1" name="Picture 2" descr="LIRNE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RNEasia.jpg"/>
                  <pic:cNvPicPr>
                    <a:picLocks noChangeAspect="1" noChangeArrowheads="1"/>
                  </pic:cNvPicPr>
                </pic:nvPicPr>
                <pic:blipFill>
                  <a:blip r:embed="rId1" cstate="print"/>
                  <a:srcRect/>
                  <a:stretch>
                    <a:fillRect/>
                  </a:stretch>
                </pic:blipFill>
                <pic:spPr bwMode="auto">
                  <a:xfrm>
                    <a:off x="0" y="0"/>
                    <a:ext cx="2105025"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5E9"/>
    <w:multiLevelType w:val="hybridMultilevel"/>
    <w:tmpl w:val="DBB696BC"/>
    <w:lvl w:ilvl="0" w:tplc="D48211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F2812"/>
    <w:multiLevelType w:val="hybridMultilevel"/>
    <w:tmpl w:val="D616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E0A30"/>
    <w:multiLevelType w:val="hybridMultilevel"/>
    <w:tmpl w:val="C42C5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AB5E43"/>
    <w:multiLevelType w:val="hybridMultilevel"/>
    <w:tmpl w:val="1BEEDCD2"/>
    <w:lvl w:ilvl="0" w:tplc="D48211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35A73"/>
    <w:multiLevelType w:val="multilevel"/>
    <w:tmpl w:val="7586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956F5"/>
    <w:multiLevelType w:val="hybridMultilevel"/>
    <w:tmpl w:val="61C2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C2748"/>
    <w:multiLevelType w:val="hybridMultilevel"/>
    <w:tmpl w:val="FB78F3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D44249B"/>
    <w:multiLevelType w:val="hybridMultilevel"/>
    <w:tmpl w:val="0A8E2C48"/>
    <w:lvl w:ilvl="0" w:tplc="7E4CBAD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F104A"/>
    <w:multiLevelType w:val="hybridMultilevel"/>
    <w:tmpl w:val="3DF09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9416D4"/>
    <w:multiLevelType w:val="hybridMultilevel"/>
    <w:tmpl w:val="FD48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88"/>
    <w:rsid w:val="000131F5"/>
    <w:rsid w:val="000241DA"/>
    <w:rsid w:val="00031847"/>
    <w:rsid w:val="00031C6E"/>
    <w:rsid w:val="00045763"/>
    <w:rsid w:val="000537E8"/>
    <w:rsid w:val="0006044B"/>
    <w:rsid w:val="00071727"/>
    <w:rsid w:val="00072D1D"/>
    <w:rsid w:val="0007342E"/>
    <w:rsid w:val="000A08E4"/>
    <w:rsid w:val="000C032C"/>
    <w:rsid w:val="000D4C2E"/>
    <w:rsid w:val="000E08B2"/>
    <w:rsid w:val="000E0DFC"/>
    <w:rsid w:val="000E0FBF"/>
    <w:rsid w:val="000E3C18"/>
    <w:rsid w:val="000E78E9"/>
    <w:rsid w:val="000F421A"/>
    <w:rsid w:val="00110300"/>
    <w:rsid w:val="00111306"/>
    <w:rsid w:val="00113A0C"/>
    <w:rsid w:val="001156F3"/>
    <w:rsid w:val="001228E8"/>
    <w:rsid w:val="001320E3"/>
    <w:rsid w:val="001469A0"/>
    <w:rsid w:val="00162BA4"/>
    <w:rsid w:val="00167CBE"/>
    <w:rsid w:val="00167F57"/>
    <w:rsid w:val="001814FF"/>
    <w:rsid w:val="00183798"/>
    <w:rsid w:val="001A5643"/>
    <w:rsid w:val="001A7511"/>
    <w:rsid w:val="001F2A6F"/>
    <w:rsid w:val="001F4B54"/>
    <w:rsid w:val="00202538"/>
    <w:rsid w:val="002111D6"/>
    <w:rsid w:val="00231740"/>
    <w:rsid w:val="00242F12"/>
    <w:rsid w:val="00246D45"/>
    <w:rsid w:val="0025111C"/>
    <w:rsid w:val="002531BB"/>
    <w:rsid w:val="00272A75"/>
    <w:rsid w:val="00280A47"/>
    <w:rsid w:val="002A729C"/>
    <w:rsid w:val="002B0207"/>
    <w:rsid w:val="002B1020"/>
    <w:rsid w:val="002B78E2"/>
    <w:rsid w:val="002D4E1C"/>
    <w:rsid w:val="002D7248"/>
    <w:rsid w:val="002E0E44"/>
    <w:rsid w:val="002E4CA9"/>
    <w:rsid w:val="002F57BD"/>
    <w:rsid w:val="003477DA"/>
    <w:rsid w:val="0035098E"/>
    <w:rsid w:val="0036098F"/>
    <w:rsid w:val="00366397"/>
    <w:rsid w:val="0039154B"/>
    <w:rsid w:val="003B5BA1"/>
    <w:rsid w:val="003D403B"/>
    <w:rsid w:val="003E2C30"/>
    <w:rsid w:val="003E44AE"/>
    <w:rsid w:val="003E4D00"/>
    <w:rsid w:val="00413F51"/>
    <w:rsid w:val="004342DC"/>
    <w:rsid w:val="00457531"/>
    <w:rsid w:val="00472C15"/>
    <w:rsid w:val="0048622D"/>
    <w:rsid w:val="00493F20"/>
    <w:rsid w:val="004C343C"/>
    <w:rsid w:val="004C5528"/>
    <w:rsid w:val="004C5673"/>
    <w:rsid w:val="004D12A7"/>
    <w:rsid w:val="004E4C34"/>
    <w:rsid w:val="004F2C24"/>
    <w:rsid w:val="00516CC0"/>
    <w:rsid w:val="00543D71"/>
    <w:rsid w:val="0055439A"/>
    <w:rsid w:val="00555AB5"/>
    <w:rsid w:val="00597A5B"/>
    <w:rsid w:val="005A1FB8"/>
    <w:rsid w:val="005B1156"/>
    <w:rsid w:val="005B3C7F"/>
    <w:rsid w:val="005C3C0E"/>
    <w:rsid w:val="005E457F"/>
    <w:rsid w:val="005E6575"/>
    <w:rsid w:val="005F062B"/>
    <w:rsid w:val="005F26DD"/>
    <w:rsid w:val="00603305"/>
    <w:rsid w:val="00603B0D"/>
    <w:rsid w:val="006160A5"/>
    <w:rsid w:val="00625408"/>
    <w:rsid w:val="00625DEE"/>
    <w:rsid w:val="0064474E"/>
    <w:rsid w:val="006555DC"/>
    <w:rsid w:val="00656E28"/>
    <w:rsid w:val="006575E6"/>
    <w:rsid w:val="00661429"/>
    <w:rsid w:val="00672C00"/>
    <w:rsid w:val="00685C6E"/>
    <w:rsid w:val="0069192E"/>
    <w:rsid w:val="00695449"/>
    <w:rsid w:val="006C0F64"/>
    <w:rsid w:val="006E6541"/>
    <w:rsid w:val="006E7BE1"/>
    <w:rsid w:val="006F3795"/>
    <w:rsid w:val="006F6616"/>
    <w:rsid w:val="007248E9"/>
    <w:rsid w:val="007260A1"/>
    <w:rsid w:val="00732A8C"/>
    <w:rsid w:val="00742F50"/>
    <w:rsid w:val="00744AE7"/>
    <w:rsid w:val="00746FE8"/>
    <w:rsid w:val="007836E7"/>
    <w:rsid w:val="007B2473"/>
    <w:rsid w:val="007D0B73"/>
    <w:rsid w:val="007D3D1A"/>
    <w:rsid w:val="007F1DA5"/>
    <w:rsid w:val="00813D5C"/>
    <w:rsid w:val="008148D6"/>
    <w:rsid w:val="00816E41"/>
    <w:rsid w:val="008313BE"/>
    <w:rsid w:val="0083679E"/>
    <w:rsid w:val="0083798C"/>
    <w:rsid w:val="00854C85"/>
    <w:rsid w:val="008617CF"/>
    <w:rsid w:val="00870ECA"/>
    <w:rsid w:val="00891285"/>
    <w:rsid w:val="008A2594"/>
    <w:rsid w:val="008E03A6"/>
    <w:rsid w:val="0090429A"/>
    <w:rsid w:val="0091566A"/>
    <w:rsid w:val="0092088F"/>
    <w:rsid w:val="0092236D"/>
    <w:rsid w:val="00940F2C"/>
    <w:rsid w:val="00954569"/>
    <w:rsid w:val="00964D9F"/>
    <w:rsid w:val="00975243"/>
    <w:rsid w:val="00985855"/>
    <w:rsid w:val="00987765"/>
    <w:rsid w:val="009928F0"/>
    <w:rsid w:val="009B15CE"/>
    <w:rsid w:val="009B5C0E"/>
    <w:rsid w:val="009C7F7D"/>
    <w:rsid w:val="009D4082"/>
    <w:rsid w:val="009E091A"/>
    <w:rsid w:val="009F79DE"/>
    <w:rsid w:val="00A04221"/>
    <w:rsid w:val="00A048AB"/>
    <w:rsid w:val="00A13EEF"/>
    <w:rsid w:val="00A20C7A"/>
    <w:rsid w:val="00A364D5"/>
    <w:rsid w:val="00A45CCF"/>
    <w:rsid w:val="00A56788"/>
    <w:rsid w:val="00A73182"/>
    <w:rsid w:val="00A73C5A"/>
    <w:rsid w:val="00A833E6"/>
    <w:rsid w:val="00A84E19"/>
    <w:rsid w:val="00A95216"/>
    <w:rsid w:val="00AA0D80"/>
    <w:rsid w:val="00AC5847"/>
    <w:rsid w:val="00AC60FE"/>
    <w:rsid w:val="00AD09AD"/>
    <w:rsid w:val="00AD1666"/>
    <w:rsid w:val="00AE7CB9"/>
    <w:rsid w:val="00B01737"/>
    <w:rsid w:val="00B4617C"/>
    <w:rsid w:val="00B626BE"/>
    <w:rsid w:val="00B81ACE"/>
    <w:rsid w:val="00B87439"/>
    <w:rsid w:val="00B914D2"/>
    <w:rsid w:val="00BA3DA5"/>
    <w:rsid w:val="00BA5F54"/>
    <w:rsid w:val="00BB38F5"/>
    <w:rsid w:val="00BC38B7"/>
    <w:rsid w:val="00BD3727"/>
    <w:rsid w:val="00BF5342"/>
    <w:rsid w:val="00BF7790"/>
    <w:rsid w:val="00C24B91"/>
    <w:rsid w:val="00C42EFB"/>
    <w:rsid w:val="00C73782"/>
    <w:rsid w:val="00C877A9"/>
    <w:rsid w:val="00C9213A"/>
    <w:rsid w:val="00C925D0"/>
    <w:rsid w:val="00CA524B"/>
    <w:rsid w:val="00CC4B98"/>
    <w:rsid w:val="00CE2908"/>
    <w:rsid w:val="00CF2E4E"/>
    <w:rsid w:val="00D04D80"/>
    <w:rsid w:val="00D17371"/>
    <w:rsid w:val="00D23DB8"/>
    <w:rsid w:val="00D3443F"/>
    <w:rsid w:val="00D44EAD"/>
    <w:rsid w:val="00D46675"/>
    <w:rsid w:val="00D54707"/>
    <w:rsid w:val="00D660A0"/>
    <w:rsid w:val="00D67453"/>
    <w:rsid w:val="00D75F53"/>
    <w:rsid w:val="00D77594"/>
    <w:rsid w:val="00DC37F1"/>
    <w:rsid w:val="00DC6184"/>
    <w:rsid w:val="00DE76D2"/>
    <w:rsid w:val="00DE7D00"/>
    <w:rsid w:val="00DF1299"/>
    <w:rsid w:val="00DF57FD"/>
    <w:rsid w:val="00E07C61"/>
    <w:rsid w:val="00E33FA4"/>
    <w:rsid w:val="00E34A40"/>
    <w:rsid w:val="00E4689B"/>
    <w:rsid w:val="00E47BA2"/>
    <w:rsid w:val="00E47D90"/>
    <w:rsid w:val="00E532DC"/>
    <w:rsid w:val="00E532E1"/>
    <w:rsid w:val="00E558BA"/>
    <w:rsid w:val="00E80D50"/>
    <w:rsid w:val="00E82038"/>
    <w:rsid w:val="00E90655"/>
    <w:rsid w:val="00E90AE1"/>
    <w:rsid w:val="00EA7ECF"/>
    <w:rsid w:val="00EB5BAF"/>
    <w:rsid w:val="00EC2029"/>
    <w:rsid w:val="00ED7195"/>
    <w:rsid w:val="00F16331"/>
    <w:rsid w:val="00F43CA5"/>
    <w:rsid w:val="00F51E1A"/>
    <w:rsid w:val="00F5688C"/>
    <w:rsid w:val="00F6786F"/>
    <w:rsid w:val="00F73E27"/>
    <w:rsid w:val="00F84DA9"/>
    <w:rsid w:val="00F86111"/>
    <w:rsid w:val="00F909E0"/>
    <w:rsid w:val="00F90E85"/>
    <w:rsid w:val="00F91F83"/>
    <w:rsid w:val="00F94F70"/>
    <w:rsid w:val="00FA5E36"/>
    <w:rsid w:val="00FB7BC2"/>
    <w:rsid w:val="00FC6A36"/>
    <w:rsid w:val="00FE3ECF"/>
    <w:rsid w:val="00FE56C8"/>
    <w:rsid w:val="00FF712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56788"/>
    <w:pPr>
      <w:spacing w:after="0" w:line="240" w:lineRule="auto"/>
      <w:jc w:val="both"/>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3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532DC"/>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E532DC"/>
    <w:pPr>
      <w:spacing w:after="0" w:line="240" w:lineRule="auto"/>
      <w:ind w:left="720"/>
      <w:contextualSpacing/>
      <w:jc w:val="both"/>
    </w:pPr>
    <w:rPr>
      <w:lang w:bidi="ar-SA"/>
    </w:rPr>
  </w:style>
  <w:style w:type="character" w:styleId="Hyperlink">
    <w:name w:val="Hyperlink"/>
    <w:basedOn w:val="DefaultParagraphFont"/>
    <w:uiPriority w:val="99"/>
    <w:unhideWhenUsed/>
    <w:rsid w:val="0092236D"/>
    <w:rPr>
      <w:color w:val="0000FF"/>
      <w:u w:val="single"/>
    </w:rPr>
  </w:style>
  <w:style w:type="paragraph" w:styleId="Header">
    <w:name w:val="header"/>
    <w:basedOn w:val="Normal"/>
    <w:link w:val="HeaderChar"/>
    <w:uiPriority w:val="99"/>
    <w:unhideWhenUsed/>
    <w:rsid w:val="0094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C"/>
  </w:style>
  <w:style w:type="paragraph" w:styleId="Footer">
    <w:name w:val="footer"/>
    <w:basedOn w:val="Normal"/>
    <w:link w:val="FooterChar"/>
    <w:uiPriority w:val="99"/>
    <w:unhideWhenUsed/>
    <w:rsid w:val="0094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C"/>
  </w:style>
  <w:style w:type="character" w:styleId="CommentReference">
    <w:name w:val="annotation reference"/>
    <w:basedOn w:val="DefaultParagraphFont"/>
    <w:uiPriority w:val="99"/>
    <w:semiHidden/>
    <w:unhideWhenUsed/>
    <w:rsid w:val="00954569"/>
    <w:rPr>
      <w:sz w:val="16"/>
      <w:szCs w:val="16"/>
    </w:rPr>
  </w:style>
  <w:style w:type="paragraph" w:styleId="CommentText">
    <w:name w:val="annotation text"/>
    <w:basedOn w:val="Normal"/>
    <w:link w:val="CommentTextChar"/>
    <w:uiPriority w:val="99"/>
    <w:semiHidden/>
    <w:unhideWhenUsed/>
    <w:rsid w:val="00954569"/>
    <w:pPr>
      <w:spacing w:line="240" w:lineRule="auto"/>
    </w:pPr>
    <w:rPr>
      <w:sz w:val="20"/>
      <w:szCs w:val="20"/>
    </w:rPr>
  </w:style>
  <w:style w:type="character" w:customStyle="1" w:styleId="CommentTextChar">
    <w:name w:val="Comment Text Char"/>
    <w:basedOn w:val="DefaultParagraphFont"/>
    <w:link w:val="CommentText"/>
    <w:uiPriority w:val="99"/>
    <w:semiHidden/>
    <w:rsid w:val="00954569"/>
    <w:rPr>
      <w:sz w:val="20"/>
      <w:szCs w:val="20"/>
    </w:rPr>
  </w:style>
  <w:style w:type="paragraph" w:styleId="CommentSubject">
    <w:name w:val="annotation subject"/>
    <w:basedOn w:val="CommentText"/>
    <w:next w:val="CommentText"/>
    <w:link w:val="CommentSubjectChar"/>
    <w:uiPriority w:val="99"/>
    <w:semiHidden/>
    <w:unhideWhenUsed/>
    <w:rsid w:val="00954569"/>
    <w:rPr>
      <w:b/>
      <w:bCs/>
    </w:rPr>
  </w:style>
  <w:style w:type="character" w:customStyle="1" w:styleId="CommentSubjectChar">
    <w:name w:val="Comment Subject Char"/>
    <w:basedOn w:val="CommentTextChar"/>
    <w:link w:val="CommentSubject"/>
    <w:uiPriority w:val="99"/>
    <w:semiHidden/>
    <w:rsid w:val="00954569"/>
    <w:rPr>
      <w:b/>
      <w:bCs/>
      <w:sz w:val="20"/>
      <w:szCs w:val="20"/>
    </w:rPr>
  </w:style>
  <w:style w:type="paragraph" w:styleId="BalloonText">
    <w:name w:val="Balloon Text"/>
    <w:basedOn w:val="Normal"/>
    <w:link w:val="BalloonTextChar"/>
    <w:uiPriority w:val="99"/>
    <w:semiHidden/>
    <w:unhideWhenUsed/>
    <w:rsid w:val="009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69"/>
    <w:rPr>
      <w:rFonts w:ascii="Tahoma" w:hAnsi="Tahoma" w:cs="Tahoma"/>
      <w:sz w:val="16"/>
      <w:szCs w:val="16"/>
    </w:rPr>
  </w:style>
  <w:style w:type="paragraph" w:styleId="BodyTextIndent2">
    <w:name w:val="Body Text Indent 2"/>
    <w:basedOn w:val="Normal"/>
    <w:link w:val="BodyTextIndent2Char"/>
    <w:uiPriority w:val="99"/>
    <w:semiHidden/>
    <w:unhideWhenUsed/>
    <w:rsid w:val="000E08B2"/>
    <w:pPr>
      <w:spacing w:after="120" w:line="480" w:lineRule="auto"/>
      <w:ind w:left="360"/>
    </w:pPr>
  </w:style>
  <w:style w:type="character" w:customStyle="1" w:styleId="BodyTextIndent2Char">
    <w:name w:val="Body Text Indent 2 Char"/>
    <w:basedOn w:val="DefaultParagraphFont"/>
    <w:link w:val="BodyTextIndent2"/>
    <w:uiPriority w:val="99"/>
    <w:semiHidden/>
    <w:rsid w:val="000E08B2"/>
  </w:style>
  <w:style w:type="character" w:customStyle="1" w:styleId="apple-converted-space">
    <w:name w:val="apple-converted-space"/>
    <w:basedOn w:val="DefaultParagraphFont"/>
    <w:rsid w:val="00987765"/>
  </w:style>
  <w:style w:type="paragraph" w:styleId="NormalWeb">
    <w:name w:val="Normal (Web)"/>
    <w:basedOn w:val="Normal"/>
    <w:uiPriority w:val="99"/>
    <w:semiHidden/>
    <w:unhideWhenUsed/>
    <w:rsid w:val="0023174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162B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56788"/>
    <w:pPr>
      <w:spacing w:after="0" w:line="240" w:lineRule="auto"/>
      <w:jc w:val="both"/>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3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532DC"/>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E532DC"/>
    <w:pPr>
      <w:spacing w:after="0" w:line="240" w:lineRule="auto"/>
      <w:ind w:left="720"/>
      <w:contextualSpacing/>
      <w:jc w:val="both"/>
    </w:pPr>
    <w:rPr>
      <w:lang w:bidi="ar-SA"/>
    </w:rPr>
  </w:style>
  <w:style w:type="character" w:styleId="Hyperlink">
    <w:name w:val="Hyperlink"/>
    <w:basedOn w:val="DefaultParagraphFont"/>
    <w:uiPriority w:val="99"/>
    <w:unhideWhenUsed/>
    <w:rsid w:val="0092236D"/>
    <w:rPr>
      <w:color w:val="0000FF"/>
      <w:u w:val="single"/>
    </w:rPr>
  </w:style>
  <w:style w:type="paragraph" w:styleId="Header">
    <w:name w:val="header"/>
    <w:basedOn w:val="Normal"/>
    <w:link w:val="HeaderChar"/>
    <w:uiPriority w:val="99"/>
    <w:unhideWhenUsed/>
    <w:rsid w:val="0094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C"/>
  </w:style>
  <w:style w:type="paragraph" w:styleId="Footer">
    <w:name w:val="footer"/>
    <w:basedOn w:val="Normal"/>
    <w:link w:val="FooterChar"/>
    <w:uiPriority w:val="99"/>
    <w:unhideWhenUsed/>
    <w:rsid w:val="0094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C"/>
  </w:style>
  <w:style w:type="character" w:styleId="CommentReference">
    <w:name w:val="annotation reference"/>
    <w:basedOn w:val="DefaultParagraphFont"/>
    <w:uiPriority w:val="99"/>
    <w:semiHidden/>
    <w:unhideWhenUsed/>
    <w:rsid w:val="00954569"/>
    <w:rPr>
      <w:sz w:val="16"/>
      <w:szCs w:val="16"/>
    </w:rPr>
  </w:style>
  <w:style w:type="paragraph" w:styleId="CommentText">
    <w:name w:val="annotation text"/>
    <w:basedOn w:val="Normal"/>
    <w:link w:val="CommentTextChar"/>
    <w:uiPriority w:val="99"/>
    <w:semiHidden/>
    <w:unhideWhenUsed/>
    <w:rsid w:val="00954569"/>
    <w:pPr>
      <w:spacing w:line="240" w:lineRule="auto"/>
    </w:pPr>
    <w:rPr>
      <w:sz w:val="20"/>
      <w:szCs w:val="20"/>
    </w:rPr>
  </w:style>
  <w:style w:type="character" w:customStyle="1" w:styleId="CommentTextChar">
    <w:name w:val="Comment Text Char"/>
    <w:basedOn w:val="DefaultParagraphFont"/>
    <w:link w:val="CommentText"/>
    <w:uiPriority w:val="99"/>
    <w:semiHidden/>
    <w:rsid w:val="00954569"/>
    <w:rPr>
      <w:sz w:val="20"/>
      <w:szCs w:val="20"/>
    </w:rPr>
  </w:style>
  <w:style w:type="paragraph" w:styleId="CommentSubject">
    <w:name w:val="annotation subject"/>
    <w:basedOn w:val="CommentText"/>
    <w:next w:val="CommentText"/>
    <w:link w:val="CommentSubjectChar"/>
    <w:uiPriority w:val="99"/>
    <w:semiHidden/>
    <w:unhideWhenUsed/>
    <w:rsid w:val="00954569"/>
    <w:rPr>
      <w:b/>
      <w:bCs/>
    </w:rPr>
  </w:style>
  <w:style w:type="character" w:customStyle="1" w:styleId="CommentSubjectChar">
    <w:name w:val="Comment Subject Char"/>
    <w:basedOn w:val="CommentTextChar"/>
    <w:link w:val="CommentSubject"/>
    <w:uiPriority w:val="99"/>
    <w:semiHidden/>
    <w:rsid w:val="00954569"/>
    <w:rPr>
      <w:b/>
      <w:bCs/>
      <w:sz w:val="20"/>
      <w:szCs w:val="20"/>
    </w:rPr>
  </w:style>
  <w:style w:type="paragraph" w:styleId="BalloonText">
    <w:name w:val="Balloon Text"/>
    <w:basedOn w:val="Normal"/>
    <w:link w:val="BalloonTextChar"/>
    <w:uiPriority w:val="99"/>
    <w:semiHidden/>
    <w:unhideWhenUsed/>
    <w:rsid w:val="009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69"/>
    <w:rPr>
      <w:rFonts w:ascii="Tahoma" w:hAnsi="Tahoma" w:cs="Tahoma"/>
      <w:sz w:val="16"/>
      <w:szCs w:val="16"/>
    </w:rPr>
  </w:style>
  <w:style w:type="paragraph" w:styleId="BodyTextIndent2">
    <w:name w:val="Body Text Indent 2"/>
    <w:basedOn w:val="Normal"/>
    <w:link w:val="BodyTextIndent2Char"/>
    <w:uiPriority w:val="99"/>
    <w:semiHidden/>
    <w:unhideWhenUsed/>
    <w:rsid w:val="000E08B2"/>
    <w:pPr>
      <w:spacing w:after="120" w:line="480" w:lineRule="auto"/>
      <w:ind w:left="360"/>
    </w:pPr>
  </w:style>
  <w:style w:type="character" w:customStyle="1" w:styleId="BodyTextIndent2Char">
    <w:name w:val="Body Text Indent 2 Char"/>
    <w:basedOn w:val="DefaultParagraphFont"/>
    <w:link w:val="BodyTextIndent2"/>
    <w:uiPriority w:val="99"/>
    <w:semiHidden/>
    <w:rsid w:val="000E08B2"/>
  </w:style>
  <w:style w:type="character" w:customStyle="1" w:styleId="apple-converted-space">
    <w:name w:val="apple-converted-space"/>
    <w:basedOn w:val="DefaultParagraphFont"/>
    <w:rsid w:val="00987765"/>
  </w:style>
  <w:style w:type="paragraph" w:styleId="NormalWeb">
    <w:name w:val="Normal (Web)"/>
    <w:basedOn w:val="Normal"/>
    <w:uiPriority w:val="99"/>
    <w:semiHidden/>
    <w:unhideWhenUsed/>
    <w:rsid w:val="0023174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162B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50">
      <w:bodyDiv w:val="1"/>
      <w:marLeft w:val="0"/>
      <w:marRight w:val="0"/>
      <w:marTop w:val="0"/>
      <w:marBottom w:val="0"/>
      <w:divBdr>
        <w:top w:val="none" w:sz="0" w:space="0" w:color="auto"/>
        <w:left w:val="none" w:sz="0" w:space="0" w:color="auto"/>
        <w:bottom w:val="none" w:sz="0" w:space="0" w:color="auto"/>
        <w:right w:val="none" w:sz="0" w:space="0" w:color="auto"/>
      </w:divBdr>
    </w:div>
    <w:div w:id="50471602">
      <w:bodyDiv w:val="1"/>
      <w:marLeft w:val="0"/>
      <w:marRight w:val="0"/>
      <w:marTop w:val="0"/>
      <w:marBottom w:val="0"/>
      <w:divBdr>
        <w:top w:val="none" w:sz="0" w:space="0" w:color="auto"/>
        <w:left w:val="none" w:sz="0" w:space="0" w:color="auto"/>
        <w:bottom w:val="none" w:sz="0" w:space="0" w:color="auto"/>
        <w:right w:val="none" w:sz="0" w:space="0" w:color="auto"/>
      </w:divBdr>
    </w:div>
    <w:div w:id="699673394">
      <w:bodyDiv w:val="1"/>
      <w:marLeft w:val="0"/>
      <w:marRight w:val="0"/>
      <w:marTop w:val="0"/>
      <w:marBottom w:val="0"/>
      <w:divBdr>
        <w:top w:val="none" w:sz="0" w:space="0" w:color="auto"/>
        <w:left w:val="none" w:sz="0" w:space="0" w:color="auto"/>
        <w:bottom w:val="none" w:sz="0" w:space="0" w:color="auto"/>
        <w:right w:val="none" w:sz="0" w:space="0" w:color="auto"/>
      </w:divBdr>
    </w:div>
    <w:div w:id="705912414">
      <w:bodyDiv w:val="1"/>
      <w:marLeft w:val="0"/>
      <w:marRight w:val="0"/>
      <w:marTop w:val="0"/>
      <w:marBottom w:val="0"/>
      <w:divBdr>
        <w:top w:val="none" w:sz="0" w:space="0" w:color="auto"/>
        <w:left w:val="none" w:sz="0" w:space="0" w:color="auto"/>
        <w:bottom w:val="none" w:sz="0" w:space="0" w:color="auto"/>
        <w:right w:val="none" w:sz="0" w:space="0" w:color="auto"/>
      </w:divBdr>
    </w:div>
    <w:div w:id="755443452">
      <w:bodyDiv w:val="1"/>
      <w:marLeft w:val="0"/>
      <w:marRight w:val="0"/>
      <w:marTop w:val="0"/>
      <w:marBottom w:val="0"/>
      <w:divBdr>
        <w:top w:val="none" w:sz="0" w:space="0" w:color="auto"/>
        <w:left w:val="none" w:sz="0" w:space="0" w:color="auto"/>
        <w:bottom w:val="none" w:sz="0" w:space="0" w:color="auto"/>
        <w:right w:val="none" w:sz="0" w:space="0" w:color="auto"/>
      </w:divBdr>
    </w:div>
    <w:div w:id="1009597029">
      <w:bodyDiv w:val="1"/>
      <w:marLeft w:val="0"/>
      <w:marRight w:val="0"/>
      <w:marTop w:val="0"/>
      <w:marBottom w:val="0"/>
      <w:divBdr>
        <w:top w:val="none" w:sz="0" w:space="0" w:color="auto"/>
        <w:left w:val="none" w:sz="0" w:space="0" w:color="auto"/>
        <w:bottom w:val="none" w:sz="0" w:space="0" w:color="auto"/>
        <w:right w:val="none" w:sz="0" w:space="0" w:color="auto"/>
      </w:divBdr>
    </w:div>
    <w:div w:id="1361083798">
      <w:bodyDiv w:val="1"/>
      <w:marLeft w:val="0"/>
      <w:marRight w:val="0"/>
      <w:marTop w:val="0"/>
      <w:marBottom w:val="0"/>
      <w:divBdr>
        <w:top w:val="none" w:sz="0" w:space="0" w:color="auto"/>
        <w:left w:val="none" w:sz="0" w:space="0" w:color="auto"/>
        <w:bottom w:val="none" w:sz="0" w:space="0" w:color="auto"/>
        <w:right w:val="none" w:sz="0" w:space="0" w:color="auto"/>
      </w:divBdr>
    </w:div>
    <w:div w:id="19341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oadbandtoolkit.org/en/toolkit/contents" TargetMode="External"/><Relationship Id="rId18" Type="http://schemas.openxmlformats.org/officeDocument/2006/relationships/hyperlink" Target="http://www.idrc.ca/en/ev-117916-201-1-DO_TOPIC.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shanthi@lirneasia.net" TargetMode="External"/><Relationship Id="rId7" Type="http://schemas.openxmlformats.org/officeDocument/2006/relationships/footnotes" Target="footnotes.xml"/><Relationship Id="rId12" Type="http://schemas.openxmlformats.org/officeDocument/2006/relationships/hyperlink" Target="http://www.ictregulationtoolkit.org/en/Index.html" TargetMode="External"/><Relationship Id="rId17" Type="http://schemas.openxmlformats.org/officeDocument/2006/relationships/hyperlink" Target="http://itidjournal.org/itid/article/view/224/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unica.org/samarajiva.html" TargetMode="External"/><Relationship Id="rId20" Type="http://schemas.openxmlformats.org/officeDocument/2006/relationships/hyperlink" Target="mailto:htaike2au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rneasia.net/projects/current-projects/virtual-organiz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ITU-D/ldc/turkey/docs/The_Role_of_ICT_in_Advancing_Growth_in_LDCs_Trends_Challenges_and_Opportunities.pdf" TargetMode="External"/><Relationship Id="rId23" Type="http://schemas.openxmlformats.org/officeDocument/2006/relationships/header" Target="header1.xml"/><Relationship Id="rId10" Type="http://schemas.openxmlformats.org/officeDocument/2006/relationships/hyperlink" Target="http://www.lirneasia.net/projects/current-projects/capacity-and-field-building/" TargetMode="External"/><Relationship Id="rId19" Type="http://schemas.openxmlformats.org/officeDocument/2006/relationships/hyperlink" Target="http://www.wto.org/english/tratop_e/serv_e/telecom_e/workshop_dec04_e/mitigating_regulatory_risk.pdf" TargetMode="External"/><Relationship Id="rId4" Type="http://schemas.microsoft.com/office/2007/relationships/stylesWithEffects" Target="stylesWithEffects.xml"/><Relationship Id="rId9" Type="http://schemas.openxmlformats.org/officeDocument/2006/relationships/hyperlink" Target="http://royalkaytumadi.kmahotels.com/" TargetMode="External"/><Relationship Id="rId14" Type="http://schemas.openxmlformats.org/officeDocument/2006/relationships/hyperlink" Target="http://www.infodev.org/En/Publication.1057.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A005-D4B0-4369-A348-873FE460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Rohan Samarajiva</cp:lastModifiedBy>
  <cp:revision>4</cp:revision>
  <dcterms:created xsi:type="dcterms:W3CDTF">2013-10-07T05:02:00Z</dcterms:created>
  <dcterms:modified xsi:type="dcterms:W3CDTF">2013-10-07T05:16:00Z</dcterms:modified>
</cp:coreProperties>
</file>