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184E" w14:textId="538A6487" w:rsidR="00516CC0" w:rsidRDefault="000D02D3" w:rsidP="00516CC0">
      <w:pPr>
        <w:jc w:val="right"/>
      </w:pPr>
      <w:bookmarkStart w:id="0" w:name="_GoBack"/>
      <w:bookmarkEnd w:id="0"/>
      <w:r>
        <w:t>Version 1</w:t>
      </w:r>
      <w:r w:rsidR="00C34EC3">
        <w:t>.5</w:t>
      </w:r>
    </w:p>
    <w:p w14:paraId="232322B5" w14:textId="77777777" w:rsidR="00E532DC" w:rsidRDefault="00D67453" w:rsidP="00E80D50">
      <w:pPr>
        <w:pStyle w:val="Title"/>
        <w:jc w:val="center"/>
      </w:pPr>
      <w:r>
        <w:t>Syllabus:</w:t>
      </w:r>
      <w:r w:rsidR="00E532DC">
        <w:t xml:space="preserve"> “How to engage in broadband policy and regulatory processes”</w:t>
      </w:r>
    </w:p>
    <w:p w14:paraId="15F74057" w14:textId="4CB1F6ED" w:rsidR="00F7268C" w:rsidRDefault="00BC2BF2" w:rsidP="00B2167C">
      <w:pPr>
        <w:jc w:val="center"/>
      </w:pPr>
      <w:proofErr w:type="spellStart"/>
      <w:r w:rsidRPr="00BC2BF2">
        <w:t>D</w:t>
      </w:r>
      <w:r w:rsidR="0070299D">
        <w:t>hulikel</w:t>
      </w:r>
      <w:proofErr w:type="spellEnd"/>
      <w:r w:rsidR="0070299D">
        <w:t xml:space="preserve"> Lodge</w:t>
      </w:r>
      <w:r>
        <w:t xml:space="preserve"> Resort</w:t>
      </w:r>
      <w:r w:rsidR="00FD28BE">
        <w:t>, 14-17 July</w:t>
      </w:r>
      <w:r w:rsidR="00F7268C">
        <w:t xml:space="preserve"> 201</w:t>
      </w:r>
      <w:r w:rsidR="00FD28BE">
        <w:t>7</w:t>
      </w:r>
    </w:p>
    <w:p w14:paraId="496C0121" w14:textId="0E621EFF" w:rsidR="00E532DC" w:rsidRDefault="00E80D50" w:rsidP="00E80D50">
      <w:pPr>
        <w:jc w:val="center"/>
      </w:pPr>
      <w:r>
        <w:t xml:space="preserve">A four-day </w:t>
      </w:r>
      <w:r w:rsidR="006D2860">
        <w:t xml:space="preserve">residential </w:t>
      </w:r>
      <w:r w:rsidR="00FD28BE">
        <w:t>course</w:t>
      </w:r>
      <w:r w:rsidR="003800C0">
        <w:t xml:space="preserve"> </w:t>
      </w:r>
      <w:r>
        <w:t>o</w:t>
      </w:r>
      <w:r w:rsidR="00D67453">
        <w:t>ffered by LIRNE</w:t>
      </w:r>
      <w:r w:rsidR="00612E8D" w:rsidRPr="00612E8D">
        <w:rPr>
          <w:i/>
          <w:iCs/>
        </w:rPr>
        <w:t>asia</w:t>
      </w:r>
      <w:r w:rsidR="00D67453">
        <w:t xml:space="preserve"> </w:t>
      </w:r>
      <w:r w:rsidR="006D2860">
        <w:t>in partnersh</w:t>
      </w:r>
      <w:r w:rsidR="00FD28BE">
        <w:t xml:space="preserve">ip with </w:t>
      </w:r>
      <w:r w:rsidR="00FD28BE" w:rsidRPr="00ED4BF9">
        <w:t>I</w:t>
      </w:r>
      <w:r w:rsidR="00ED4BF9">
        <w:t>SOC Nepal and the Center for Law and Technology</w:t>
      </w:r>
      <w:r w:rsidR="006F46FD">
        <w:t xml:space="preserve"> </w:t>
      </w:r>
      <w:r w:rsidR="00D67453">
        <w:t>with the support of the Ford Foundation</w:t>
      </w:r>
    </w:p>
    <w:p w14:paraId="4F741951" w14:textId="77777777" w:rsidR="00E532DC" w:rsidRDefault="00E532DC" w:rsidP="00E532DC">
      <w:pPr>
        <w:pStyle w:val="Heading1"/>
        <w:numPr>
          <w:ilvl w:val="0"/>
          <w:numId w:val="1"/>
        </w:numPr>
        <w:spacing w:before="0" w:line="240" w:lineRule="auto"/>
      </w:pPr>
      <w:r>
        <w:t xml:space="preserve">Goal </w:t>
      </w:r>
    </w:p>
    <w:p w14:paraId="33FC1975" w14:textId="61E6495F" w:rsidR="00E532DC" w:rsidRDefault="00E532DC" w:rsidP="00C324DD">
      <w:pPr>
        <w:jc w:val="both"/>
      </w:pPr>
      <w:r>
        <w:t>To</w:t>
      </w:r>
      <w:r w:rsidR="00FD28BE">
        <w:t xml:space="preserve"> enable members of Nepal</w:t>
      </w:r>
      <w:r w:rsidR="00F27B67">
        <w:t xml:space="preserve"> </w:t>
      </w:r>
      <w:r w:rsidR="00D67453">
        <w:t>civil-</w:t>
      </w:r>
      <w:r w:rsidR="007C20AC">
        <w:t>society groups and media personnel</w:t>
      </w:r>
      <w:r>
        <w:t xml:space="preserve"> marshal available research and evidence for effective participation in broadband policy and regulatory </w:t>
      </w:r>
      <w:r w:rsidR="0083798C">
        <w:t>processes including</w:t>
      </w:r>
      <w:r>
        <w:t xml:space="preserve"> interactions with media, thereby facilitating and enriching policy discourse on </w:t>
      </w:r>
      <w:r w:rsidR="00954569">
        <w:t>means of</w:t>
      </w:r>
      <w:r>
        <w:t xml:space="preserve"> increas</w:t>
      </w:r>
      <w:r w:rsidR="00954569">
        <w:t>ing</w:t>
      </w:r>
      <w:r>
        <w:t xml:space="preserve"> broadband access by the poor</w:t>
      </w:r>
      <w:r w:rsidR="00C42BDD">
        <w:t xml:space="preserve"> and persons with disabilities</w:t>
      </w:r>
      <w:r>
        <w:t>.</w:t>
      </w:r>
      <w:r w:rsidR="00C42BDD">
        <w:t xml:space="preserve">  Those from government and the private sector will also benefit.</w:t>
      </w:r>
    </w:p>
    <w:p w14:paraId="69697FF5" w14:textId="77777777" w:rsidR="00E532DC" w:rsidRDefault="00E532DC" w:rsidP="00E532DC">
      <w:pPr>
        <w:pStyle w:val="Heading1"/>
        <w:numPr>
          <w:ilvl w:val="0"/>
          <w:numId w:val="1"/>
        </w:numPr>
        <w:spacing w:before="0" w:line="240" w:lineRule="auto"/>
      </w:pPr>
      <w:r>
        <w:t>Outcomes</w:t>
      </w:r>
    </w:p>
    <w:p w14:paraId="0F5ECDC5" w14:textId="77777777" w:rsidR="00E532DC" w:rsidRDefault="00E532DC" w:rsidP="00C324DD">
      <w:pPr>
        <w:jc w:val="both"/>
      </w:pPr>
      <w:r>
        <w:t>The objective of the course is to produce discerning and knowledgeable consumers of research who are able to engage in broadband policy and regulatory processes.</w:t>
      </w:r>
    </w:p>
    <w:p w14:paraId="4308CA65" w14:textId="77777777" w:rsidR="00E532DC" w:rsidRDefault="00E532DC" w:rsidP="00C324DD">
      <w:pPr>
        <w:jc w:val="both"/>
      </w:pPr>
      <w:r>
        <w:t>At the end of the course attendees will:</w:t>
      </w:r>
    </w:p>
    <w:p w14:paraId="434957A3" w14:textId="77777777" w:rsidR="00E532DC" w:rsidRDefault="00E532DC" w:rsidP="00C324DD">
      <w:pPr>
        <w:pStyle w:val="ListParagraph"/>
        <w:numPr>
          <w:ilvl w:val="0"/>
          <w:numId w:val="2"/>
        </w:numPr>
      </w:pPr>
      <w:r>
        <w:t>Be able to fin</w:t>
      </w:r>
      <w:r w:rsidR="00FD28BE">
        <w:t>d and assess relevant research and</w:t>
      </w:r>
      <w:r>
        <w:t xml:space="preserve"> evidence</w:t>
      </w:r>
    </w:p>
    <w:p w14:paraId="6FB3E4F9" w14:textId="77777777" w:rsidR="00E532DC" w:rsidRDefault="00E532DC" w:rsidP="00C324DD">
      <w:pPr>
        <w:pStyle w:val="ListParagraph"/>
        <w:numPr>
          <w:ilvl w:val="0"/>
          <w:numId w:val="2"/>
        </w:numPr>
      </w:pPr>
      <w:r>
        <w:t>B</w:t>
      </w:r>
      <w:r w:rsidRPr="000D5F0B">
        <w:t xml:space="preserve">e able to </w:t>
      </w:r>
      <w:r>
        <w:t>summarize the research</w:t>
      </w:r>
      <w:r w:rsidRPr="000D5F0B">
        <w:t xml:space="preserve"> in a coherent and comprehensive manner</w:t>
      </w:r>
    </w:p>
    <w:p w14:paraId="63641FB6" w14:textId="77777777" w:rsidR="00E532DC" w:rsidRDefault="00E532DC" w:rsidP="00C324DD">
      <w:pPr>
        <w:pStyle w:val="ListParagraph"/>
        <w:numPr>
          <w:ilvl w:val="0"/>
          <w:numId w:val="2"/>
        </w:numPr>
      </w:pPr>
      <w:r>
        <w:t xml:space="preserve">Have an understanding of broadband policy and regulatory processes in </w:t>
      </w:r>
      <w:r w:rsidR="00FD28BE">
        <w:t>Nepal</w:t>
      </w:r>
    </w:p>
    <w:p w14:paraId="0778ADA8" w14:textId="77777777" w:rsidR="001657B4" w:rsidRDefault="00D67453" w:rsidP="001657B4">
      <w:pPr>
        <w:pStyle w:val="Heading1"/>
        <w:numPr>
          <w:ilvl w:val="0"/>
          <w:numId w:val="1"/>
        </w:numPr>
      </w:pPr>
      <w:r>
        <w:t>Assignments</w:t>
      </w:r>
    </w:p>
    <w:p w14:paraId="3BAAB769" w14:textId="77777777" w:rsidR="00FD28BE" w:rsidRDefault="00FD28BE" w:rsidP="00FD28BE">
      <w:r>
        <w:t xml:space="preserve">Almost all developed market economies periodically adopt communication policies or strategies, one of the most recent being by the UK Department of Culture, Media and Sports (2017).  The purpose of these documents, variously described as policies, strategies and roadmaps, is that of providing a degree of certainty to the many actors active in the communication space.  In the ideal case, such policies are broadly </w:t>
      </w:r>
      <w:r>
        <w:lastRenderedPageBreak/>
        <w:t>consulted and have the buy-in of most, if not all, government and non-government stakeholders.  Having been approved by government through Cabinet or a similar superior committee and thus being difficult to change, there is a degree of rigidity to these policies which provides certainty to actors, especially to investors.  Generally, these documents have to be complemented by more specific plans that set out targets, identify resources and assign responsibilities for the completion of tasks.</w:t>
      </w:r>
    </w:p>
    <w:p w14:paraId="1F4B0586" w14:textId="77777777" w:rsidR="00FD28BE" w:rsidRDefault="00FD28BE" w:rsidP="00FD28BE">
      <w:r>
        <w:t xml:space="preserve">In India, especially in the central government, telecom policies tend to be developed through consultative processes and are taken seriously.  In other countries such as Bangladesh, Nepal and Sri Lanka, policy formulation and implementation is weak.  The last proper national telecom policy in Bangladesh dates back to 1998, and in Sri Lanka to 1994.  Nepal adopted both a National ICT Policy and a Broadband Policy in 2015, but examination of earlier drafts (Government of Nepal, </w:t>
      </w:r>
      <w:proofErr w:type="spellStart"/>
      <w:r>
        <w:t>n.d.</w:t>
      </w:r>
      <w:proofErr w:type="spellEnd"/>
      <w:r>
        <w:t xml:space="preserve">) showed that they were more in the nature of wish lists than actionable and resourced policies.  </w:t>
      </w:r>
    </w:p>
    <w:p w14:paraId="1C1F9902" w14:textId="77777777" w:rsidR="00FD28BE" w:rsidRDefault="00FD28BE" w:rsidP="00FD28BE">
      <w:r>
        <w:t xml:space="preserve">The Bangladesh and Sri Lanka policies were threadbare and had become obsolete long ago.  Efforts to replace them with more modern documents have failed to go the distance, though some kind of policy appears to have been slapped together in Bangladesh, while the old policy is what is still displayed on government websites.  However, the lack of formal policies does not appear to have caused serious damage to the sectors, which have kept growing and innovating.  Of course, the question of whether they would have done even better if good policies were in place and were scrupulously implemented remains open.  </w:t>
      </w:r>
    </w:p>
    <w:p w14:paraId="033DA577" w14:textId="77777777" w:rsidR="00153593" w:rsidRDefault="00153593" w:rsidP="00FD28BE">
      <w:r>
        <w:t>The assignment will be to make evidence-base</w:t>
      </w:r>
      <w:r w:rsidR="001C5294">
        <w:t xml:space="preserve">d team presentations that we hope will </w:t>
      </w:r>
      <w:r w:rsidR="00FD28BE">
        <w:t>assist the government of Nepal to implement the National ICT Policy and Broadband Policy</w:t>
      </w:r>
      <w:r>
        <w:t xml:space="preserve">.  The </w:t>
      </w:r>
      <w:r w:rsidR="00071582">
        <w:t xml:space="preserve">five-person </w:t>
      </w:r>
      <w:r>
        <w:t xml:space="preserve">teams will be assigned different aspects: </w:t>
      </w:r>
    </w:p>
    <w:p w14:paraId="6F01817F" w14:textId="77777777" w:rsidR="00153593" w:rsidRDefault="00153593" w:rsidP="00153593">
      <w:pPr>
        <w:pStyle w:val="ListParagraph"/>
        <w:numPr>
          <w:ilvl w:val="0"/>
          <w:numId w:val="5"/>
        </w:numPr>
      </w:pPr>
      <w:r>
        <w:t>Affordable broadband of adequ</w:t>
      </w:r>
      <w:r w:rsidR="00FD28BE">
        <w:t>ate quality throughout Nepal</w:t>
      </w:r>
    </w:p>
    <w:p w14:paraId="27D1D8FB" w14:textId="77777777" w:rsidR="00153593" w:rsidRDefault="00153593" w:rsidP="00153593">
      <w:pPr>
        <w:pStyle w:val="ListParagraph"/>
        <w:numPr>
          <w:ilvl w:val="0"/>
          <w:numId w:val="5"/>
        </w:numPr>
      </w:pPr>
      <w:r>
        <w:t>Services and applications</w:t>
      </w:r>
      <w:r w:rsidR="00FD28BE">
        <w:t xml:space="preserve"> that are of value to Nepali</w:t>
      </w:r>
      <w:r>
        <w:t xml:space="preserve"> users</w:t>
      </w:r>
    </w:p>
    <w:p w14:paraId="387DD8B2" w14:textId="77777777" w:rsidR="00153593" w:rsidRDefault="001956A1" w:rsidP="00153593">
      <w:pPr>
        <w:pStyle w:val="ListParagraph"/>
        <w:numPr>
          <w:ilvl w:val="0"/>
          <w:numId w:val="5"/>
        </w:numPr>
      </w:pPr>
      <w:r>
        <w:t>Measures to enhance and assure t</w:t>
      </w:r>
      <w:r w:rsidR="00153593">
        <w:t>rust and security</w:t>
      </w:r>
    </w:p>
    <w:p w14:paraId="4EEEF164" w14:textId="77777777" w:rsidR="00153593" w:rsidRDefault="00153593" w:rsidP="00153593">
      <w:pPr>
        <w:pStyle w:val="ListParagraph"/>
        <w:numPr>
          <w:ilvl w:val="0"/>
          <w:numId w:val="5"/>
        </w:numPr>
      </w:pPr>
      <w:r>
        <w:t xml:space="preserve">Affordable terminal devices that all can use, with special attention being </w:t>
      </w:r>
      <w:r w:rsidR="00FD3F2F">
        <w:t>paid the</w:t>
      </w:r>
      <w:r>
        <w:t xml:space="preserve"> elderly and </w:t>
      </w:r>
      <w:r w:rsidR="00FD3F2F">
        <w:t xml:space="preserve">the </w:t>
      </w:r>
      <w:r>
        <w:t>differently abled</w:t>
      </w:r>
    </w:p>
    <w:p w14:paraId="3FAF632B" w14:textId="77777777" w:rsidR="00153593" w:rsidRDefault="001956A1" w:rsidP="00153593">
      <w:pPr>
        <w:pStyle w:val="ListParagraph"/>
        <w:numPr>
          <w:ilvl w:val="0"/>
          <w:numId w:val="5"/>
        </w:numPr>
      </w:pPr>
      <w:r>
        <w:t>Formation of s</w:t>
      </w:r>
      <w:r w:rsidR="00153593">
        <w:t>killed users</w:t>
      </w:r>
    </w:p>
    <w:p w14:paraId="35181B6A" w14:textId="27A316E6" w:rsidR="00FF69AD" w:rsidRDefault="00FF69AD" w:rsidP="00153593">
      <w:pPr>
        <w:pStyle w:val="ListParagraph"/>
        <w:numPr>
          <w:ilvl w:val="0"/>
          <w:numId w:val="5"/>
        </w:numPr>
      </w:pPr>
      <w:r>
        <w:t>ICTs in disaster risk reduction and disaster response</w:t>
      </w:r>
    </w:p>
    <w:p w14:paraId="3146499A" w14:textId="77777777" w:rsidR="00D47409" w:rsidRDefault="00D47409" w:rsidP="00153593"/>
    <w:p w14:paraId="2BA9359C" w14:textId="157A6BB4" w:rsidR="00ED4BF9" w:rsidRDefault="00ED4BF9" w:rsidP="00153593">
      <w:r>
        <w:t>Each presentation must identify the lead actor, the other entities it must work with, resources for the actions and measurable performance indicators including a timeline.</w:t>
      </w:r>
    </w:p>
    <w:p w14:paraId="467C3A4B" w14:textId="77777777" w:rsidR="00E532DC" w:rsidRDefault="00E532DC" w:rsidP="00153593">
      <w:r>
        <w:br w:type="page"/>
      </w:r>
    </w:p>
    <w:p w14:paraId="26D528A3" w14:textId="2104D72F" w:rsidR="0006044B" w:rsidRDefault="0006044B" w:rsidP="00DE791C">
      <w:pPr>
        <w:pStyle w:val="Heading1"/>
        <w:numPr>
          <w:ilvl w:val="0"/>
          <w:numId w:val="1"/>
        </w:numPr>
      </w:pPr>
      <w:r>
        <w:lastRenderedPageBreak/>
        <w:t>C</w:t>
      </w:r>
      <w:r w:rsidR="00A56788">
        <w:t>ourse schedule</w:t>
      </w:r>
    </w:p>
    <w:tbl>
      <w:tblPr>
        <w:tblStyle w:val="TableGrid"/>
        <w:tblpPr w:leftFromText="180" w:rightFromText="180" w:vertAnchor="page" w:horzAnchor="margin" w:tblpXSpec="center" w:tblpY="2697"/>
        <w:tblW w:w="5000" w:type="pct"/>
        <w:tblLayout w:type="fixed"/>
        <w:tblLook w:val="04A0" w:firstRow="1" w:lastRow="0" w:firstColumn="1" w:lastColumn="0" w:noHBand="0" w:noVBand="1"/>
      </w:tblPr>
      <w:tblGrid>
        <w:gridCol w:w="1457"/>
        <w:gridCol w:w="2880"/>
        <w:gridCol w:w="2801"/>
        <w:gridCol w:w="3052"/>
        <w:gridCol w:w="2986"/>
      </w:tblGrid>
      <w:tr w:rsidR="00D47409" w:rsidRPr="00DE791C" w14:paraId="0262B79C" w14:textId="77777777" w:rsidTr="00B36F7F">
        <w:trPr>
          <w:trHeight w:val="300"/>
        </w:trPr>
        <w:tc>
          <w:tcPr>
            <w:tcW w:w="553" w:type="pct"/>
            <w:noWrap/>
            <w:hideMark/>
          </w:tcPr>
          <w:p w14:paraId="1CC61EB1" w14:textId="77777777" w:rsidR="00D47409" w:rsidRPr="00DE791C" w:rsidRDefault="00D47409" w:rsidP="00D573AD">
            <w:pPr>
              <w:jc w:val="left"/>
              <w:rPr>
                <w:sz w:val="20"/>
                <w:szCs w:val="20"/>
              </w:rPr>
            </w:pPr>
          </w:p>
        </w:tc>
        <w:tc>
          <w:tcPr>
            <w:tcW w:w="1093" w:type="pct"/>
            <w:noWrap/>
            <w:hideMark/>
          </w:tcPr>
          <w:p w14:paraId="7794301C" w14:textId="77777777" w:rsidR="00D47409" w:rsidRPr="00DE791C" w:rsidRDefault="00D47409" w:rsidP="00D573AD">
            <w:pPr>
              <w:jc w:val="left"/>
              <w:rPr>
                <w:sz w:val="20"/>
                <w:szCs w:val="20"/>
              </w:rPr>
            </w:pPr>
            <w:r w:rsidRPr="00DE791C">
              <w:rPr>
                <w:sz w:val="20"/>
                <w:szCs w:val="20"/>
              </w:rPr>
              <w:t xml:space="preserve">Day1 (July 14) </w:t>
            </w:r>
          </w:p>
        </w:tc>
        <w:tc>
          <w:tcPr>
            <w:tcW w:w="1063" w:type="pct"/>
            <w:noWrap/>
            <w:hideMark/>
          </w:tcPr>
          <w:p w14:paraId="0B068AC6" w14:textId="77777777" w:rsidR="00D47409" w:rsidRPr="00DE791C" w:rsidRDefault="00D47409" w:rsidP="00D573AD">
            <w:pPr>
              <w:jc w:val="left"/>
              <w:rPr>
                <w:sz w:val="20"/>
                <w:szCs w:val="20"/>
              </w:rPr>
            </w:pPr>
            <w:r w:rsidRPr="00DE791C">
              <w:rPr>
                <w:sz w:val="20"/>
                <w:szCs w:val="20"/>
              </w:rPr>
              <w:t xml:space="preserve">Day2 (July 15) </w:t>
            </w:r>
          </w:p>
        </w:tc>
        <w:tc>
          <w:tcPr>
            <w:tcW w:w="1158" w:type="pct"/>
            <w:noWrap/>
            <w:hideMark/>
          </w:tcPr>
          <w:p w14:paraId="1506974A" w14:textId="77777777" w:rsidR="00D47409" w:rsidRPr="00DE791C" w:rsidRDefault="00D47409" w:rsidP="00D573AD">
            <w:pPr>
              <w:jc w:val="left"/>
              <w:rPr>
                <w:sz w:val="20"/>
                <w:szCs w:val="20"/>
              </w:rPr>
            </w:pPr>
            <w:r w:rsidRPr="00DE791C">
              <w:rPr>
                <w:sz w:val="20"/>
                <w:szCs w:val="20"/>
              </w:rPr>
              <w:t>Day3 (July 16)</w:t>
            </w:r>
          </w:p>
        </w:tc>
        <w:tc>
          <w:tcPr>
            <w:tcW w:w="1134" w:type="pct"/>
            <w:noWrap/>
            <w:hideMark/>
          </w:tcPr>
          <w:p w14:paraId="38E69EB1" w14:textId="77777777" w:rsidR="00D47409" w:rsidRPr="00DE791C" w:rsidRDefault="00D47409" w:rsidP="00D573AD">
            <w:pPr>
              <w:jc w:val="left"/>
              <w:rPr>
                <w:sz w:val="20"/>
                <w:szCs w:val="20"/>
              </w:rPr>
            </w:pPr>
            <w:r w:rsidRPr="00DE791C">
              <w:rPr>
                <w:sz w:val="20"/>
                <w:szCs w:val="20"/>
              </w:rPr>
              <w:t>Day4  (July 17)</w:t>
            </w:r>
          </w:p>
        </w:tc>
      </w:tr>
      <w:tr w:rsidR="00D47409" w:rsidRPr="00DE791C" w14:paraId="6E30C58E" w14:textId="77777777" w:rsidTr="00DE791C">
        <w:trPr>
          <w:trHeight w:val="1034"/>
        </w:trPr>
        <w:tc>
          <w:tcPr>
            <w:tcW w:w="553" w:type="pct"/>
            <w:noWrap/>
            <w:hideMark/>
          </w:tcPr>
          <w:p w14:paraId="202A7DD7" w14:textId="77777777" w:rsidR="00D47409" w:rsidRPr="00DE791C" w:rsidRDefault="00D47409" w:rsidP="00D573AD">
            <w:pPr>
              <w:jc w:val="left"/>
              <w:rPr>
                <w:sz w:val="20"/>
                <w:szCs w:val="20"/>
              </w:rPr>
            </w:pPr>
            <w:r w:rsidRPr="00DE791C">
              <w:rPr>
                <w:sz w:val="20"/>
                <w:szCs w:val="20"/>
              </w:rPr>
              <w:t>0900-1030</w:t>
            </w:r>
          </w:p>
        </w:tc>
        <w:tc>
          <w:tcPr>
            <w:tcW w:w="1093" w:type="pct"/>
            <w:noWrap/>
            <w:hideMark/>
          </w:tcPr>
          <w:p w14:paraId="192A745B" w14:textId="77777777" w:rsidR="00D47409" w:rsidRPr="00DE791C" w:rsidRDefault="00D47409" w:rsidP="00D573AD">
            <w:pPr>
              <w:jc w:val="left"/>
              <w:rPr>
                <w:sz w:val="20"/>
                <w:szCs w:val="20"/>
              </w:rPr>
            </w:pPr>
            <w:r w:rsidRPr="00DE791C">
              <w:rPr>
                <w:sz w:val="20"/>
                <w:szCs w:val="20"/>
              </w:rPr>
              <w:t xml:space="preserve">S1  Introduction (Rohan Samarajiva RS and </w:t>
            </w:r>
          </w:p>
          <w:p w14:paraId="0CBE89F9" w14:textId="77777777" w:rsidR="00D47409" w:rsidRPr="00DE791C" w:rsidRDefault="00D47409" w:rsidP="00D573AD">
            <w:pPr>
              <w:jc w:val="left"/>
              <w:rPr>
                <w:sz w:val="20"/>
                <w:szCs w:val="20"/>
              </w:rPr>
            </w:pPr>
            <w:r w:rsidRPr="00DE791C">
              <w:rPr>
                <w:sz w:val="20"/>
                <w:szCs w:val="20"/>
              </w:rPr>
              <w:t xml:space="preserve">Santosh </w:t>
            </w:r>
            <w:proofErr w:type="spellStart"/>
            <w:r w:rsidRPr="00DE791C">
              <w:rPr>
                <w:sz w:val="20"/>
                <w:szCs w:val="20"/>
              </w:rPr>
              <w:t>Sigdel</w:t>
            </w:r>
            <w:proofErr w:type="spellEnd"/>
            <w:r w:rsidRPr="00DE791C">
              <w:rPr>
                <w:sz w:val="20"/>
                <w:szCs w:val="20"/>
              </w:rPr>
              <w:t xml:space="preserve"> SS)</w:t>
            </w:r>
          </w:p>
        </w:tc>
        <w:tc>
          <w:tcPr>
            <w:tcW w:w="1063" w:type="pct"/>
            <w:noWrap/>
            <w:hideMark/>
          </w:tcPr>
          <w:p w14:paraId="04BFD0CE" w14:textId="77777777" w:rsidR="00D47409" w:rsidRPr="00DE791C" w:rsidRDefault="00D47409" w:rsidP="00D573AD">
            <w:pPr>
              <w:jc w:val="left"/>
              <w:rPr>
                <w:sz w:val="20"/>
                <w:szCs w:val="20"/>
              </w:rPr>
            </w:pPr>
            <w:r w:rsidRPr="00DE791C">
              <w:rPr>
                <w:sz w:val="20"/>
                <w:szCs w:val="20"/>
              </w:rPr>
              <w:t>S5   Baseline knowledge available online and in English relevant to Nepal ICT policy (RS)</w:t>
            </w:r>
          </w:p>
        </w:tc>
        <w:tc>
          <w:tcPr>
            <w:tcW w:w="1158" w:type="pct"/>
            <w:noWrap/>
            <w:hideMark/>
          </w:tcPr>
          <w:p w14:paraId="4DBA1CEB" w14:textId="3A12393A" w:rsidR="00D47409" w:rsidRPr="00DE791C" w:rsidRDefault="00F3631D" w:rsidP="00D573AD">
            <w:pPr>
              <w:jc w:val="left"/>
              <w:rPr>
                <w:sz w:val="20"/>
                <w:szCs w:val="20"/>
              </w:rPr>
            </w:pPr>
            <w:r w:rsidRPr="00DE791C">
              <w:rPr>
                <w:sz w:val="20"/>
                <w:szCs w:val="20"/>
              </w:rPr>
              <w:t>S10</w:t>
            </w:r>
            <w:r w:rsidR="00D47409" w:rsidRPr="00DE791C">
              <w:rPr>
                <w:sz w:val="20"/>
                <w:szCs w:val="20"/>
              </w:rPr>
              <w:t xml:space="preserve"> National Broadband Networks of India, Malaysia, Indonesia and Australia: Comparative study (VI &amp; RS)</w:t>
            </w:r>
          </w:p>
        </w:tc>
        <w:tc>
          <w:tcPr>
            <w:tcW w:w="1134" w:type="pct"/>
            <w:noWrap/>
            <w:hideMark/>
          </w:tcPr>
          <w:p w14:paraId="77F4320B" w14:textId="36048AB2" w:rsidR="00D47409" w:rsidRPr="00DE791C" w:rsidRDefault="00B36F7F" w:rsidP="00D573AD">
            <w:pPr>
              <w:jc w:val="left"/>
              <w:rPr>
                <w:sz w:val="20"/>
                <w:szCs w:val="20"/>
              </w:rPr>
            </w:pPr>
            <w:r w:rsidRPr="00DE791C">
              <w:rPr>
                <w:sz w:val="20"/>
                <w:szCs w:val="20"/>
              </w:rPr>
              <w:t>S13   Policy and regulatory actions to enhance Internet access by the differently abled (</w:t>
            </w:r>
            <w:proofErr w:type="spellStart"/>
            <w:r w:rsidRPr="00DE791C">
              <w:rPr>
                <w:sz w:val="20"/>
                <w:szCs w:val="20"/>
              </w:rPr>
              <w:t>Nirmita</w:t>
            </w:r>
            <w:proofErr w:type="spellEnd"/>
            <w:r w:rsidRPr="00DE791C">
              <w:rPr>
                <w:sz w:val="20"/>
                <w:szCs w:val="20"/>
              </w:rPr>
              <w:t xml:space="preserve"> </w:t>
            </w:r>
            <w:proofErr w:type="spellStart"/>
            <w:r w:rsidRPr="00DE791C">
              <w:rPr>
                <w:sz w:val="20"/>
                <w:szCs w:val="20"/>
              </w:rPr>
              <w:t>Narasimhan</w:t>
            </w:r>
            <w:proofErr w:type="spellEnd"/>
            <w:r w:rsidRPr="00DE791C">
              <w:rPr>
                <w:sz w:val="20"/>
                <w:szCs w:val="20"/>
              </w:rPr>
              <w:t xml:space="preserve"> NN)</w:t>
            </w:r>
          </w:p>
        </w:tc>
      </w:tr>
      <w:tr w:rsidR="00D47409" w:rsidRPr="00DE791C" w14:paraId="6FC45191" w14:textId="77777777" w:rsidTr="00B36F7F">
        <w:trPr>
          <w:trHeight w:val="300"/>
        </w:trPr>
        <w:tc>
          <w:tcPr>
            <w:tcW w:w="553" w:type="pct"/>
            <w:noWrap/>
            <w:hideMark/>
          </w:tcPr>
          <w:p w14:paraId="6017D8A3" w14:textId="77777777" w:rsidR="00D47409" w:rsidRPr="00DE791C" w:rsidRDefault="00D47409" w:rsidP="00D573AD">
            <w:pPr>
              <w:jc w:val="left"/>
              <w:rPr>
                <w:sz w:val="20"/>
                <w:szCs w:val="20"/>
              </w:rPr>
            </w:pPr>
            <w:r w:rsidRPr="00DE791C">
              <w:rPr>
                <w:sz w:val="20"/>
                <w:szCs w:val="20"/>
              </w:rPr>
              <w:t>1030-1100</w:t>
            </w:r>
          </w:p>
        </w:tc>
        <w:tc>
          <w:tcPr>
            <w:tcW w:w="1093" w:type="pct"/>
            <w:noWrap/>
            <w:hideMark/>
          </w:tcPr>
          <w:p w14:paraId="0DDECF64" w14:textId="77777777" w:rsidR="00D47409" w:rsidRPr="00DE791C" w:rsidRDefault="00D47409" w:rsidP="00D573AD">
            <w:pPr>
              <w:jc w:val="left"/>
              <w:rPr>
                <w:sz w:val="20"/>
                <w:szCs w:val="20"/>
              </w:rPr>
            </w:pPr>
            <w:r w:rsidRPr="00DE791C">
              <w:rPr>
                <w:sz w:val="20"/>
                <w:szCs w:val="20"/>
              </w:rPr>
              <w:t>Break</w:t>
            </w:r>
          </w:p>
        </w:tc>
        <w:tc>
          <w:tcPr>
            <w:tcW w:w="1063" w:type="pct"/>
            <w:noWrap/>
            <w:hideMark/>
          </w:tcPr>
          <w:p w14:paraId="37C6F191" w14:textId="77777777" w:rsidR="00D47409" w:rsidRPr="00DE791C" w:rsidRDefault="00D47409" w:rsidP="00D573AD">
            <w:pPr>
              <w:jc w:val="left"/>
              <w:rPr>
                <w:sz w:val="20"/>
                <w:szCs w:val="20"/>
              </w:rPr>
            </w:pPr>
            <w:r w:rsidRPr="00DE791C">
              <w:rPr>
                <w:sz w:val="20"/>
                <w:szCs w:val="20"/>
              </w:rPr>
              <w:t>Break</w:t>
            </w:r>
          </w:p>
        </w:tc>
        <w:tc>
          <w:tcPr>
            <w:tcW w:w="1158" w:type="pct"/>
            <w:noWrap/>
            <w:hideMark/>
          </w:tcPr>
          <w:p w14:paraId="662E1107" w14:textId="77777777" w:rsidR="00D47409" w:rsidRPr="00DE791C" w:rsidRDefault="00D47409" w:rsidP="00D573AD">
            <w:pPr>
              <w:jc w:val="left"/>
              <w:rPr>
                <w:sz w:val="20"/>
                <w:szCs w:val="20"/>
              </w:rPr>
            </w:pPr>
            <w:r w:rsidRPr="00DE791C">
              <w:rPr>
                <w:sz w:val="20"/>
                <w:szCs w:val="20"/>
              </w:rPr>
              <w:t>Break</w:t>
            </w:r>
          </w:p>
        </w:tc>
        <w:tc>
          <w:tcPr>
            <w:tcW w:w="1134" w:type="pct"/>
            <w:noWrap/>
            <w:hideMark/>
          </w:tcPr>
          <w:p w14:paraId="10503314" w14:textId="77777777" w:rsidR="00D47409" w:rsidRPr="00DE791C" w:rsidRDefault="00D47409" w:rsidP="00D573AD">
            <w:pPr>
              <w:jc w:val="left"/>
              <w:rPr>
                <w:sz w:val="20"/>
                <w:szCs w:val="20"/>
              </w:rPr>
            </w:pPr>
            <w:r w:rsidRPr="00DE791C">
              <w:rPr>
                <w:sz w:val="20"/>
                <w:szCs w:val="20"/>
              </w:rPr>
              <w:t>Break</w:t>
            </w:r>
          </w:p>
        </w:tc>
      </w:tr>
      <w:tr w:rsidR="00D47409" w:rsidRPr="00DE791C" w14:paraId="5063BCEB" w14:textId="77777777" w:rsidTr="00B36F7F">
        <w:trPr>
          <w:trHeight w:val="300"/>
        </w:trPr>
        <w:tc>
          <w:tcPr>
            <w:tcW w:w="553" w:type="pct"/>
            <w:noWrap/>
            <w:hideMark/>
          </w:tcPr>
          <w:p w14:paraId="597A1692" w14:textId="77777777" w:rsidR="00D47409" w:rsidRPr="00DE791C" w:rsidRDefault="00D47409" w:rsidP="00D573AD">
            <w:pPr>
              <w:jc w:val="left"/>
              <w:rPr>
                <w:sz w:val="20"/>
                <w:szCs w:val="20"/>
              </w:rPr>
            </w:pPr>
            <w:r w:rsidRPr="00DE791C">
              <w:rPr>
                <w:sz w:val="20"/>
                <w:szCs w:val="20"/>
              </w:rPr>
              <w:t>1100-1200</w:t>
            </w:r>
          </w:p>
        </w:tc>
        <w:tc>
          <w:tcPr>
            <w:tcW w:w="1093" w:type="pct"/>
            <w:noWrap/>
            <w:hideMark/>
          </w:tcPr>
          <w:p w14:paraId="3BC0B249" w14:textId="77777777" w:rsidR="00D47409" w:rsidRPr="00DE791C" w:rsidRDefault="00D47409" w:rsidP="00D573AD">
            <w:pPr>
              <w:jc w:val="left"/>
              <w:rPr>
                <w:sz w:val="20"/>
                <w:szCs w:val="20"/>
              </w:rPr>
            </w:pPr>
            <w:r w:rsidRPr="00DE791C">
              <w:rPr>
                <w:sz w:val="20"/>
                <w:szCs w:val="20"/>
              </w:rPr>
              <w:t>S2   Finding research (</w:t>
            </w:r>
            <w:proofErr w:type="spellStart"/>
            <w:r w:rsidRPr="00DE791C">
              <w:rPr>
                <w:sz w:val="20"/>
                <w:szCs w:val="20"/>
              </w:rPr>
              <w:t>Vigneswara</w:t>
            </w:r>
            <w:proofErr w:type="spellEnd"/>
            <w:r w:rsidRPr="00DE791C">
              <w:rPr>
                <w:sz w:val="20"/>
                <w:szCs w:val="20"/>
              </w:rPr>
              <w:t xml:space="preserve"> </w:t>
            </w:r>
            <w:proofErr w:type="spellStart"/>
            <w:r w:rsidRPr="00DE791C">
              <w:rPr>
                <w:sz w:val="20"/>
                <w:szCs w:val="20"/>
              </w:rPr>
              <w:t>Ilavarsan</w:t>
            </w:r>
            <w:proofErr w:type="spellEnd"/>
            <w:r w:rsidRPr="00DE791C">
              <w:rPr>
                <w:sz w:val="20"/>
                <w:szCs w:val="20"/>
              </w:rPr>
              <w:t xml:space="preserve"> VI)</w:t>
            </w:r>
          </w:p>
        </w:tc>
        <w:tc>
          <w:tcPr>
            <w:tcW w:w="1063" w:type="pct"/>
            <w:noWrap/>
            <w:hideMark/>
          </w:tcPr>
          <w:p w14:paraId="6A846CCA" w14:textId="034A91A2" w:rsidR="00D47409" w:rsidRPr="00DE791C" w:rsidRDefault="00D47409" w:rsidP="00D573AD">
            <w:pPr>
              <w:jc w:val="left"/>
              <w:rPr>
                <w:sz w:val="20"/>
                <w:szCs w:val="20"/>
                <w:highlight w:val="yellow"/>
              </w:rPr>
            </w:pPr>
            <w:r w:rsidRPr="00DE791C">
              <w:rPr>
                <w:sz w:val="20"/>
                <w:szCs w:val="20"/>
              </w:rPr>
              <w:t>S6  Additional knowledge relevant to Nepal ICT policy (</w:t>
            </w:r>
            <w:proofErr w:type="spellStart"/>
            <w:r w:rsidR="00FE245E" w:rsidRPr="00DE791C">
              <w:rPr>
                <w:sz w:val="20"/>
                <w:szCs w:val="20"/>
              </w:rPr>
              <w:t>Babu</w:t>
            </w:r>
            <w:proofErr w:type="spellEnd"/>
            <w:r w:rsidR="00FE245E" w:rsidRPr="00DE791C">
              <w:rPr>
                <w:sz w:val="20"/>
                <w:szCs w:val="20"/>
              </w:rPr>
              <w:t xml:space="preserve"> Ram </w:t>
            </w:r>
            <w:proofErr w:type="spellStart"/>
            <w:r w:rsidR="00FE245E" w:rsidRPr="00DE791C">
              <w:rPr>
                <w:sz w:val="20"/>
                <w:szCs w:val="20"/>
              </w:rPr>
              <w:t>Aryal</w:t>
            </w:r>
            <w:proofErr w:type="spellEnd"/>
            <w:r w:rsidR="00FE245E" w:rsidRPr="00DE791C">
              <w:rPr>
                <w:sz w:val="20"/>
                <w:szCs w:val="20"/>
              </w:rPr>
              <w:t xml:space="preserve"> BRA</w:t>
            </w:r>
            <w:r w:rsidRPr="00DE791C">
              <w:rPr>
                <w:sz w:val="20"/>
                <w:szCs w:val="20"/>
              </w:rPr>
              <w:t>)</w:t>
            </w:r>
          </w:p>
        </w:tc>
        <w:tc>
          <w:tcPr>
            <w:tcW w:w="1158" w:type="pct"/>
            <w:noWrap/>
            <w:hideMark/>
          </w:tcPr>
          <w:p w14:paraId="754E6C27" w14:textId="3758A586" w:rsidR="00D47409" w:rsidRPr="00DE791C" w:rsidRDefault="00F3631D" w:rsidP="0004726D">
            <w:pPr>
              <w:jc w:val="left"/>
              <w:rPr>
                <w:sz w:val="20"/>
                <w:szCs w:val="20"/>
              </w:rPr>
            </w:pPr>
            <w:r w:rsidRPr="00DE791C">
              <w:rPr>
                <w:sz w:val="20"/>
                <w:szCs w:val="20"/>
              </w:rPr>
              <w:t xml:space="preserve">S11 </w:t>
            </w:r>
            <w:r w:rsidR="00D47409" w:rsidRPr="00DE791C">
              <w:rPr>
                <w:sz w:val="20"/>
                <w:szCs w:val="20"/>
              </w:rPr>
              <w:t>How Nepal makes and implements ICT policy (</w:t>
            </w:r>
            <w:proofErr w:type="spellStart"/>
            <w:r w:rsidR="0004726D" w:rsidRPr="00DE791C">
              <w:rPr>
                <w:sz w:val="20"/>
                <w:szCs w:val="20"/>
              </w:rPr>
              <w:t>Manohar</w:t>
            </w:r>
            <w:proofErr w:type="spellEnd"/>
            <w:r w:rsidR="0004726D" w:rsidRPr="00DE791C">
              <w:rPr>
                <w:sz w:val="20"/>
                <w:szCs w:val="20"/>
              </w:rPr>
              <w:t xml:space="preserve"> Kumar </w:t>
            </w:r>
            <w:proofErr w:type="spellStart"/>
            <w:r w:rsidR="0004726D" w:rsidRPr="00DE791C">
              <w:rPr>
                <w:sz w:val="20"/>
                <w:szCs w:val="20"/>
              </w:rPr>
              <w:t>Bhattarai</w:t>
            </w:r>
            <w:proofErr w:type="spellEnd"/>
            <w:r w:rsidR="0004726D" w:rsidRPr="00DE791C">
              <w:rPr>
                <w:sz w:val="20"/>
                <w:szCs w:val="20"/>
              </w:rPr>
              <w:t xml:space="preserve"> </w:t>
            </w:r>
            <w:r w:rsidR="00D47409" w:rsidRPr="00DE791C">
              <w:rPr>
                <w:sz w:val="20"/>
                <w:szCs w:val="20"/>
              </w:rPr>
              <w:t>MKB)</w:t>
            </w:r>
          </w:p>
        </w:tc>
        <w:tc>
          <w:tcPr>
            <w:tcW w:w="1134" w:type="pct"/>
            <w:noWrap/>
            <w:hideMark/>
          </w:tcPr>
          <w:p w14:paraId="5C980E26" w14:textId="426D0AF3" w:rsidR="00D47409" w:rsidRPr="00DE791C" w:rsidRDefault="00D47409" w:rsidP="00971BE6">
            <w:pPr>
              <w:jc w:val="left"/>
              <w:rPr>
                <w:sz w:val="20"/>
                <w:szCs w:val="20"/>
              </w:rPr>
            </w:pPr>
            <w:r w:rsidRPr="00DE791C">
              <w:rPr>
                <w:sz w:val="20"/>
                <w:szCs w:val="20"/>
              </w:rPr>
              <w:t>S1</w:t>
            </w:r>
            <w:r w:rsidR="00971BE6" w:rsidRPr="00DE791C">
              <w:rPr>
                <w:sz w:val="20"/>
                <w:szCs w:val="20"/>
              </w:rPr>
              <w:t xml:space="preserve">4  Supplier perspectives: Panel discussion with </w:t>
            </w:r>
            <w:proofErr w:type="spellStart"/>
            <w:r w:rsidR="00971BE6" w:rsidRPr="00DE791C">
              <w:rPr>
                <w:sz w:val="20"/>
                <w:szCs w:val="20"/>
              </w:rPr>
              <w:t>Dileep</w:t>
            </w:r>
            <w:proofErr w:type="spellEnd"/>
            <w:r w:rsidR="00971BE6" w:rsidRPr="00DE791C">
              <w:rPr>
                <w:sz w:val="20"/>
                <w:szCs w:val="20"/>
              </w:rPr>
              <w:t xml:space="preserve"> Agrawal, </w:t>
            </w:r>
            <w:proofErr w:type="spellStart"/>
            <w:r w:rsidR="00971BE6" w:rsidRPr="00DE791C">
              <w:rPr>
                <w:sz w:val="20"/>
                <w:szCs w:val="20"/>
              </w:rPr>
              <w:t>Lochan</w:t>
            </w:r>
            <w:proofErr w:type="spellEnd"/>
            <w:r w:rsidR="00971BE6" w:rsidRPr="00DE791C">
              <w:rPr>
                <w:sz w:val="20"/>
                <w:szCs w:val="20"/>
              </w:rPr>
              <w:t xml:space="preserve"> </w:t>
            </w:r>
            <w:proofErr w:type="spellStart"/>
            <w:r w:rsidR="00971BE6" w:rsidRPr="00DE791C">
              <w:rPr>
                <w:sz w:val="20"/>
                <w:szCs w:val="20"/>
              </w:rPr>
              <w:t>Lal</w:t>
            </w:r>
            <w:proofErr w:type="spellEnd"/>
            <w:r w:rsidR="00971BE6" w:rsidRPr="00DE791C">
              <w:rPr>
                <w:sz w:val="20"/>
                <w:szCs w:val="20"/>
              </w:rPr>
              <w:t xml:space="preserve"> </w:t>
            </w:r>
            <w:proofErr w:type="spellStart"/>
            <w:r w:rsidR="00971BE6" w:rsidRPr="00DE791C">
              <w:rPr>
                <w:sz w:val="20"/>
                <w:szCs w:val="20"/>
              </w:rPr>
              <w:t>Amatya</w:t>
            </w:r>
            <w:proofErr w:type="spellEnd"/>
            <w:r w:rsidR="00971BE6" w:rsidRPr="00DE791C">
              <w:rPr>
                <w:sz w:val="20"/>
                <w:szCs w:val="20"/>
              </w:rPr>
              <w:t xml:space="preserve"> &amp; Allen </w:t>
            </w:r>
            <w:proofErr w:type="spellStart"/>
            <w:r w:rsidR="00971BE6" w:rsidRPr="00DE791C">
              <w:rPr>
                <w:sz w:val="20"/>
                <w:szCs w:val="20"/>
              </w:rPr>
              <w:t>Tuladhar</w:t>
            </w:r>
            <w:proofErr w:type="spellEnd"/>
            <w:r w:rsidR="00971BE6" w:rsidRPr="00DE791C">
              <w:rPr>
                <w:sz w:val="20"/>
                <w:szCs w:val="20"/>
              </w:rPr>
              <w:t xml:space="preserve"> (moderated by </w:t>
            </w:r>
            <w:proofErr w:type="spellStart"/>
            <w:r w:rsidR="0055613B" w:rsidRPr="00DE791C">
              <w:rPr>
                <w:sz w:val="20"/>
                <w:szCs w:val="20"/>
              </w:rPr>
              <w:t>Kuvera</w:t>
            </w:r>
            <w:proofErr w:type="spellEnd"/>
            <w:r w:rsidR="00971BE6" w:rsidRPr="00DE791C">
              <w:rPr>
                <w:sz w:val="20"/>
                <w:szCs w:val="20"/>
              </w:rPr>
              <w:t xml:space="preserve"> </w:t>
            </w:r>
            <w:proofErr w:type="spellStart"/>
            <w:r w:rsidR="00971BE6" w:rsidRPr="00DE791C">
              <w:rPr>
                <w:sz w:val="20"/>
                <w:szCs w:val="20"/>
              </w:rPr>
              <w:t>Chalishe</w:t>
            </w:r>
            <w:proofErr w:type="spellEnd"/>
            <w:r w:rsidR="002769C7" w:rsidRPr="00DE791C">
              <w:rPr>
                <w:sz w:val="20"/>
                <w:szCs w:val="20"/>
              </w:rPr>
              <w:t>)</w:t>
            </w:r>
            <w:r w:rsidR="002158F6" w:rsidRPr="00DE791C">
              <w:rPr>
                <w:rStyle w:val="FootnoteReference"/>
                <w:sz w:val="20"/>
                <w:szCs w:val="20"/>
              </w:rPr>
              <w:footnoteReference w:id="1"/>
            </w:r>
            <w:r w:rsidRPr="00DE791C">
              <w:rPr>
                <w:sz w:val="20"/>
                <w:szCs w:val="20"/>
              </w:rPr>
              <w:t xml:space="preserve"> </w:t>
            </w:r>
          </w:p>
        </w:tc>
      </w:tr>
      <w:tr w:rsidR="00D47409" w:rsidRPr="00DE791C" w14:paraId="711E1994" w14:textId="77777777" w:rsidTr="00B36F7F">
        <w:trPr>
          <w:trHeight w:val="300"/>
        </w:trPr>
        <w:tc>
          <w:tcPr>
            <w:tcW w:w="553" w:type="pct"/>
            <w:noWrap/>
            <w:hideMark/>
          </w:tcPr>
          <w:p w14:paraId="1D53598B" w14:textId="77777777" w:rsidR="00D47409" w:rsidRPr="00DE791C" w:rsidRDefault="00D47409" w:rsidP="00D573AD">
            <w:pPr>
              <w:jc w:val="left"/>
              <w:rPr>
                <w:sz w:val="20"/>
                <w:szCs w:val="20"/>
              </w:rPr>
            </w:pPr>
            <w:r w:rsidRPr="00DE791C">
              <w:rPr>
                <w:sz w:val="20"/>
                <w:szCs w:val="20"/>
              </w:rPr>
              <w:t>1200-1300</w:t>
            </w:r>
          </w:p>
        </w:tc>
        <w:tc>
          <w:tcPr>
            <w:tcW w:w="1093" w:type="pct"/>
            <w:noWrap/>
            <w:hideMark/>
          </w:tcPr>
          <w:p w14:paraId="219ED8A1" w14:textId="320ED46C" w:rsidR="00D47409" w:rsidRPr="00DE791C" w:rsidRDefault="00D47409" w:rsidP="002D72B6">
            <w:pPr>
              <w:jc w:val="left"/>
              <w:rPr>
                <w:sz w:val="20"/>
                <w:szCs w:val="20"/>
              </w:rPr>
            </w:pPr>
            <w:r w:rsidRPr="00DE791C">
              <w:rPr>
                <w:sz w:val="20"/>
                <w:szCs w:val="20"/>
              </w:rPr>
              <w:t xml:space="preserve">S3 </w:t>
            </w:r>
            <w:r w:rsidR="006D69A8" w:rsidRPr="00DE791C">
              <w:rPr>
                <w:sz w:val="20"/>
                <w:szCs w:val="20"/>
              </w:rPr>
              <w:t xml:space="preserve"> Communicating</w:t>
            </w:r>
            <w:r w:rsidR="002D72B6" w:rsidRPr="00DE791C">
              <w:rPr>
                <w:sz w:val="20"/>
                <w:szCs w:val="20"/>
              </w:rPr>
              <w:t xml:space="preserve"> to policy makers (RS)</w:t>
            </w:r>
          </w:p>
        </w:tc>
        <w:tc>
          <w:tcPr>
            <w:tcW w:w="1063" w:type="pct"/>
            <w:noWrap/>
            <w:hideMark/>
          </w:tcPr>
          <w:p w14:paraId="65E955A1" w14:textId="2D257162" w:rsidR="00D47409" w:rsidRPr="00DE791C" w:rsidRDefault="002D72B6" w:rsidP="002D72B6">
            <w:pPr>
              <w:jc w:val="left"/>
              <w:rPr>
                <w:sz w:val="20"/>
                <w:szCs w:val="20"/>
              </w:rPr>
            </w:pPr>
            <w:r w:rsidRPr="00DE791C">
              <w:rPr>
                <w:sz w:val="20"/>
                <w:szCs w:val="20"/>
              </w:rPr>
              <w:t>S7 Introduction to demand-side research (VI)</w:t>
            </w:r>
          </w:p>
        </w:tc>
        <w:tc>
          <w:tcPr>
            <w:tcW w:w="1158" w:type="pct"/>
            <w:noWrap/>
          </w:tcPr>
          <w:p w14:paraId="4386E3B8" w14:textId="5BAA796B" w:rsidR="00D47409" w:rsidRPr="00DE791C" w:rsidRDefault="00D47409" w:rsidP="00D573AD">
            <w:pPr>
              <w:jc w:val="left"/>
              <w:rPr>
                <w:sz w:val="20"/>
                <w:szCs w:val="20"/>
              </w:rPr>
            </w:pPr>
            <w:r w:rsidRPr="00DE791C">
              <w:rPr>
                <w:sz w:val="20"/>
                <w:szCs w:val="20"/>
              </w:rPr>
              <w:t>S1</w:t>
            </w:r>
            <w:r w:rsidR="00F3631D" w:rsidRPr="00DE791C">
              <w:rPr>
                <w:sz w:val="20"/>
                <w:szCs w:val="20"/>
              </w:rPr>
              <w:t>2</w:t>
            </w:r>
            <w:r w:rsidRPr="00DE791C">
              <w:rPr>
                <w:sz w:val="20"/>
                <w:szCs w:val="20"/>
              </w:rPr>
              <w:t xml:space="preserve">  </w:t>
            </w:r>
            <w:r w:rsidR="00832975" w:rsidRPr="00DE791C">
              <w:rPr>
                <w:sz w:val="20"/>
                <w:szCs w:val="20"/>
              </w:rPr>
              <w:t>Implementation actions by the regulator</w:t>
            </w:r>
            <w:r w:rsidRPr="00DE791C">
              <w:rPr>
                <w:sz w:val="20"/>
                <w:szCs w:val="20"/>
              </w:rPr>
              <w:t xml:space="preserve">  (</w:t>
            </w:r>
            <w:proofErr w:type="spellStart"/>
            <w:r w:rsidRPr="00DE791C">
              <w:rPr>
                <w:sz w:val="20"/>
                <w:szCs w:val="20"/>
              </w:rPr>
              <w:t>Ananda</w:t>
            </w:r>
            <w:proofErr w:type="spellEnd"/>
            <w:r w:rsidRPr="00DE791C">
              <w:rPr>
                <w:sz w:val="20"/>
                <w:szCs w:val="20"/>
              </w:rPr>
              <w:t xml:space="preserve"> Raj </w:t>
            </w:r>
            <w:proofErr w:type="spellStart"/>
            <w:r w:rsidRPr="00DE791C">
              <w:rPr>
                <w:sz w:val="20"/>
                <w:szCs w:val="20"/>
              </w:rPr>
              <w:t>Khanal</w:t>
            </w:r>
            <w:proofErr w:type="spellEnd"/>
            <w:r w:rsidRPr="00DE791C">
              <w:rPr>
                <w:sz w:val="20"/>
                <w:szCs w:val="20"/>
              </w:rPr>
              <w:t xml:space="preserve"> ARK) </w:t>
            </w:r>
          </w:p>
        </w:tc>
        <w:tc>
          <w:tcPr>
            <w:tcW w:w="1134" w:type="pct"/>
            <w:noWrap/>
            <w:hideMark/>
          </w:tcPr>
          <w:p w14:paraId="28DAE8B4" w14:textId="2969DA2F" w:rsidR="00D47409" w:rsidRPr="00DE791C" w:rsidRDefault="00F3631D" w:rsidP="00D573AD">
            <w:pPr>
              <w:jc w:val="left"/>
              <w:rPr>
                <w:sz w:val="20"/>
                <w:szCs w:val="20"/>
              </w:rPr>
            </w:pPr>
            <w:r w:rsidRPr="00DE791C">
              <w:rPr>
                <w:sz w:val="20"/>
                <w:szCs w:val="20"/>
              </w:rPr>
              <w:t>A6</w:t>
            </w:r>
            <w:r w:rsidR="00D47409" w:rsidRPr="00DE791C">
              <w:rPr>
                <w:sz w:val="20"/>
                <w:szCs w:val="20"/>
              </w:rPr>
              <w:t xml:space="preserve"> Preparation for presentation</w:t>
            </w:r>
            <w:r w:rsidR="002158F6" w:rsidRPr="00DE791C">
              <w:rPr>
                <w:sz w:val="20"/>
                <w:szCs w:val="20"/>
              </w:rPr>
              <w:t xml:space="preserve"> (commences at 1215, not 1200)</w:t>
            </w:r>
          </w:p>
        </w:tc>
      </w:tr>
      <w:tr w:rsidR="00D47409" w:rsidRPr="00DE791C" w14:paraId="43C4FD7B" w14:textId="77777777" w:rsidTr="00B36F7F">
        <w:trPr>
          <w:trHeight w:val="300"/>
        </w:trPr>
        <w:tc>
          <w:tcPr>
            <w:tcW w:w="553" w:type="pct"/>
            <w:noWrap/>
            <w:hideMark/>
          </w:tcPr>
          <w:p w14:paraId="2AC83AF4" w14:textId="77777777" w:rsidR="00D47409" w:rsidRPr="00DE791C" w:rsidRDefault="00D47409" w:rsidP="00D573AD">
            <w:pPr>
              <w:jc w:val="left"/>
              <w:rPr>
                <w:sz w:val="20"/>
                <w:szCs w:val="20"/>
              </w:rPr>
            </w:pPr>
            <w:r w:rsidRPr="00DE791C">
              <w:rPr>
                <w:sz w:val="20"/>
                <w:szCs w:val="20"/>
              </w:rPr>
              <w:t>1300-1400</w:t>
            </w:r>
          </w:p>
        </w:tc>
        <w:tc>
          <w:tcPr>
            <w:tcW w:w="1093" w:type="pct"/>
            <w:noWrap/>
            <w:hideMark/>
          </w:tcPr>
          <w:p w14:paraId="5E8A639A" w14:textId="77777777" w:rsidR="00D47409" w:rsidRPr="00DE791C" w:rsidRDefault="00D47409" w:rsidP="00D573AD">
            <w:pPr>
              <w:jc w:val="left"/>
              <w:rPr>
                <w:sz w:val="20"/>
                <w:szCs w:val="20"/>
              </w:rPr>
            </w:pPr>
            <w:r w:rsidRPr="00DE791C">
              <w:rPr>
                <w:sz w:val="20"/>
                <w:szCs w:val="20"/>
              </w:rPr>
              <w:t>Lunch</w:t>
            </w:r>
          </w:p>
        </w:tc>
        <w:tc>
          <w:tcPr>
            <w:tcW w:w="1063" w:type="pct"/>
            <w:noWrap/>
            <w:hideMark/>
          </w:tcPr>
          <w:p w14:paraId="7E1BF74A" w14:textId="77777777" w:rsidR="00D47409" w:rsidRPr="00DE791C" w:rsidRDefault="00D47409" w:rsidP="00D573AD">
            <w:pPr>
              <w:jc w:val="left"/>
              <w:rPr>
                <w:sz w:val="20"/>
                <w:szCs w:val="20"/>
              </w:rPr>
            </w:pPr>
            <w:r w:rsidRPr="00DE791C">
              <w:rPr>
                <w:sz w:val="20"/>
                <w:szCs w:val="20"/>
              </w:rPr>
              <w:t>Lunch</w:t>
            </w:r>
          </w:p>
        </w:tc>
        <w:tc>
          <w:tcPr>
            <w:tcW w:w="1158" w:type="pct"/>
            <w:noWrap/>
            <w:hideMark/>
          </w:tcPr>
          <w:p w14:paraId="11EAC4C0" w14:textId="77777777" w:rsidR="00D47409" w:rsidRPr="00DE791C" w:rsidRDefault="00D47409" w:rsidP="00D573AD">
            <w:pPr>
              <w:jc w:val="left"/>
              <w:rPr>
                <w:sz w:val="20"/>
                <w:szCs w:val="20"/>
              </w:rPr>
            </w:pPr>
            <w:r w:rsidRPr="00DE791C">
              <w:rPr>
                <w:sz w:val="20"/>
                <w:szCs w:val="20"/>
              </w:rPr>
              <w:t>Lunch</w:t>
            </w:r>
          </w:p>
        </w:tc>
        <w:tc>
          <w:tcPr>
            <w:tcW w:w="1134" w:type="pct"/>
            <w:noWrap/>
            <w:hideMark/>
          </w:tcPr>
          <w:p w14:paraId="768ABEC2" w14:textId="77777777" w:rsidR="00D47409" w:rsidRPr="00DE791C" w:rsidRDefault="00D47409" w:rsidP="00D573AD">
            <w:pPr>
              <w:jc w:val="left"/>
              <w:rPr>
                <w:sz w:val="20"/>
                <w:szCs w:val="20"/>
              </w:rPr>
            </w:pPr>
            <w:r w:rsidRPr="00DE791C">
              <w:rPr>
                <w:sz w:val="20"/>
                <w:szCs w:val="20"/>
              </w:rPr>
              <w:t>Lunch</w:t>
            </w:r>
          </w:p>
        </w:tc>
      </w:tr>
      <w:tr w:rsidR="00D47409" w:rsidRPr="00DE791C" w14:paraId="6A6CA5A8" w14:textId="77777777" w:rsidTr="00B36F7F">
        <w:trPr>
          <w:trHeight w:val="300"/>
        </w:trPr>
        <w:tc>
          <w:tcPr>
            <w:tcW w:w="553" w:type="pct"/>
            <w:noWrap/>
            <w:hideMark/>
          </w:tcPr>
          <w:p w14:paraId="773D2BD3" w14:textId="77777777" w:rsidR="00D47409" w:rsidRPr="00DE791C" w:rsidRDefault="00D47409" w:rsidP="00D573AD">
            <w:pPr>
              <w:jc w:val="left"/>
              <w:rPr>
                <w:sz w:val="20"/>
                <w:szCs w:val="20"/>
              </w:rPr>
            </w:pPr>
            <w:r w:rsidRPr="00DE791C">
              <w:rPr>
                <w:sz w:val="20"/>
                <w:szCs w:val="20"/>
              </w:rPr>
              <w:t>1400-1500</w:t>
            </w:r>
          </w:p>
        </w:tc>
        <w:tc>
          <w:tcPr>
            <w:tcW w:w="1093" w:type="pct"/>
            <w:noWrap/>
            <w:hideMark/>
          </w:tcPr>
          <w:p w14:paraId="00C73D2F" w14:textId="77777777" w:rsidR="00D47409" w:rsidRPr="00DE791C" w:rsidRDefault="00D47409" w:rsidP="00D573AD">
            <w:pPr>
              <w:jc w:val="left"/>
              <w:rPr>
                <w:sz w:val="20"/>
                <w:szCs w:val="20"/>
              </w:rPr>
            </w:pPr>
            <w:r w:rsidRPr="00DE791C">
              <w:rPr>
                <w:sz w:val="20"/>
                <w:szCs w:val="20"/>
              </w:rPr>
              <w:t>A1 Group formation; Assignments explained and introduction of Broadband Website (Laleema Senanayake LS)</w:t>
            </w:r>
          </w:p>
        </w:tc>
        <w:tc>
          <w:tcPr>
            <w:tcW w:w="1063" w:type="pct"/>
            <w:noWrap/>
            <w:hideMark/>
          </w:tcPr>
          <w:p w14:paraId="7682ED8B" w14:textId="189756C2" w:rsidR="00D47409" w:rsidRPr="00DE791C" w:rsidRDefault="00F3631D" w:rsidP="002D72B6">
            <w:pPr>
              <w:jc w:val="left"/>
              <w:rPr>
                <w:sz w:val="20"/>
                <w:szCs w:val="20"/>
              </w:rPr>
            </w:pPr>
            <w:r w:rsidRPr="00DE791C">
              <w:rPr>
                <w:sz w:val="20"/>
                <w:szCs w:val="20"/>
              </w:rPr>
              <w:t>S8</w:t>
            </w:r>
            <w:r w:rsidR="002D72B6" w:rsidRPr="00DE791C">
              <w:rPr>
                <w:sz w:val="20"/>
                <w:szCs w:val="20"/>
              </w:rPr>
              <w:t xml:space="preserve">  Assessing &amp; summarizing research (VI)</w:t>
            </w:r>
          </w:p>
        </w:tc>
        <w:tc>
          <w:tcPr>
            <w:tcW w:w="1158" w:type="pct"/>
            <w:noWrap/>
            <w:hideMark/>
          </w:tcPr>
          <w:p w14:paraId="17DFD38D" w14:textId="5999B034" w:rsidR="00D47409" w:rsidRPr="00DE791C" w:rsidRDefault="00F3631D" w:rsidP="00C34EC3">
            <w:pPr>
              <w:jc w:val="left"/>
              <w:rPr>
                <w:sz w:val="20"/>
                <w:szCs w:val="20"/>
              </w:rPr>
            </w:pPr>
            <w:r w:rsidRPr="00DE791C">
              <w:rPr>
                <w:sz w:val="20"/>
                <w:szCs w:val="20"/>
              </w:rPr>
              <w:t>S13</w:t>
            </w:r>
            <w:r w:rsidR="00D47409" w:rsidRPr="00DE791C">
              <w:rPr>
                <w:sz w:val="20"/>
                <w:szCs w:val="20"/>
              </w:rPr>
              <w:t xml:space="preserve">   </w:t>
            </w:r>
            <w:r w:rsidR="00C34EC3" w:rsidRPr="00DE791C">
              <w:rPr>
                <w:sz w:val="20"/>
                <w:szCs w:val="20"/>
              </w:rPr>
              <w:t xml:space="preserve"> Net neutrality, zero rating and their applicability</w:t>
            </w:r>
            <w:r w:rsidR="00C34EC3" w:rsidRPr="00DE791C">
              <w:rPr>
                <w:rFonts w:cs="Arial"/>
                <w:color w:val="222222"/>
                <w:sz w:val="20"/>
                <w:szCs w:val="20"/>
                <w:shd w:val="clear" w:color="auto" w:fill="FFFFFF"/>
                <w:lang w:bidi="si-LK"/>
              </w:rPr>
              <w:t xml:space="preserve"> in conditions of low Internet access (RS</w:t>
            </w:r>
            <w:r w:rsidR="00C34EC3" w:rsidRPr="00DE791C">
              <w:rPr>
                <w:rFonts w:ascii="Arial" w:hAnsi="Arial" w:cs="Arial"/>
                <w:color w:val="222222"/>
                <w:sz w:val="20"/>
                <w:szCs w:val="20"/>
                <w:shd w:val="clear" w:color="auto" w:fill="FFFFFF"/>
                <w:lang w:bidi="si-LK"/>
              </w:rPr>
              <w:t>)</w:t>
            </w:r>
            <w:r w:rsidR="00D47409" w:rsidRPr="00DE791C">
              <w:rPr>
                <w:rFonts w:ascii="Arial" w:hAnsi="Arial" w:cs="Arial"/>
                <w:color w:val="222222"/>
                <w:sz w:val="20"/>
                <w:szCs w:val="20"/>
                <w:shd w:val="clear" w:color="auto" w:fill="FFFFFF"/>
                <w:lang w:bidi="si-LK"/>
              </w:rPr>
              <w:t xml:space="preserve"> </w:t>
            </w:r>
          </w:p>
        </w:tc>
        <w:tc>
          <w:tcPr>
            <w:tcW w:w="1134" w:type="pct"/>
            <w:noWrap/>
            <w:hideMark/>
          </w:tcPr>
          <w:p w14:paraId="00C39661" w14:textId="33DD115D" w:rsidR="00D47409" w:rsidRPr="00DE791C" w:rsidRDefault="00D47409" w:rsidP="00D573AD">
            <w:pPr>
              <w:jc w:val="left"/>
              <w:rPr>
                <w:sz w:val="20"/>
                <w:szCs w:val="20"/>
              </w:rPr>
            </w:pPr>
            <w:r w:rsidRPr="00DE791C">
              <w:rPr>
                <w:sz w:val="20"/>
                <w:szCs w:val="20"/>
              </w:rPr>
              <w:t>A</w:t>
            </w:r>
            <w:r w:rsidR="00F3631D" w:rsidRPr="00DE791C">
              <w:rPr>
                <w:sz w:val="20"/>
                <w:szCs w:val="20"/>
              </w:rPr>
              <w:t>7</w:t>
            </w:r>
            <w:r w:rsidRPr="00DE791C">
              <w:rPr>
                <w:sz w:val="20"/>
                <w:szCs w:val="20"/>
              </w:rPr>
              <w:t xml:space="preserve"> Mock public hearing (</w:t>
            </w:r>
            <w:r w:rsidR="00C97C13" w:rsidRPr="00DE791C">
              <w:rPr>
                <w:sz w:val="20"/>
                <w:szCs w:val="20"/>
              </w:rPr>
              <w:t xml:space="preserve">Panel comprising </w:t>
            </w:r>
            <w:r w:rsidRPr="00DE791C">
              <w:rPr>
                <w:sz w:val="20"/>
                <w:szCs w:val="20"/>
              </w:rPr>
              <w:t>B</w:t>
            </w:r>
            <w:r w:rsidR="00FE245E" w:rsidRPr="00DE791C">
              <w:rPr>
                <w:sz w:val="20"/>
                <w:szCs w:val="20"/>
              </w:rPr>
              <w:t>R</w:t>
            </w:r>
            <w:r w:rsidR="00C97C13" w:rsidRPr="00DE791C">
              <w:rPr>
                <w:sz w:val="20"/>
                <w:szCs w:val="20"/>
              </w:rPr>
              <w:t>A</w:t>
            </w:r>
            <w:r w:rsidRPr="00DE791C">
              <w:rPr>
                <w:sz w:val="20"/>
                <w:szCs w:val="20"/>
              </w:rPr>
              <w:t>, NN and SS)</w:t>
            </w:r>
          </w:p>
        </w:tc>
      </w:tr>
      <w:tr w:rsidR="00D47409" w:rsidRPr="00DE791C" w14:paraId="1B4A8C63" w14:textId="77777777" w:rsidTr="00B36F7F">
        <w:trPr>
          <w:trHeight w:val="300"/>
        </w:trPr>
        <w:tc>
          <w:tcPr>
            <w:tcW w:w="553" w:type="pct"/>
            <w:noWrap/>
            <w:hideMark/>
          </w:tcPr>
          <w:p w14:paraId="651C147E" w14:textId="77777777" w:rsidR="00D47409" w:rsidRPr="00DE791C" w:rsidRDefault="00D47409" w:rsidP="00D573AD">
            <w:pPr>
              <w:jc w:val="left"/>
              <w:rPr>
                <w:sz w:val="20"/>
                <w:szCs w:val="20"/>
              </w:rPr>
            </w:pPr>
            <w:r w:rsidRPr="00DE791C">
              <w:rPr>
                <w:sz w:val="20"/>
                <w:szCs w:val="20"/>
              </w:rPr>
              <w:t>1500-1530</w:t>
            </w:r>
          </w:p>
        </w:tc>
        <w:tc>
          <w:tcPr>
            <w:tcW w:w="1093" w:type="pct"/>
            <w:noWrap/>
            <w:hideMark/>
          </w:tcPr>
          <w:p w14:paraId="014B11C0" w14:textId="77777777" w:rsidR="00D47409" w:rsidRPr="00DE791C" w:rsidRDefault="00D47409" w:rsidP="00D573AD">
            <w:pPr>
              <w:jc w:val="left"/>
              <w:rPr>
                <w:sz w:val="20"/>
                <w:szCs w:val="20"/>
              </w:rPr>
            </w:pPr>
            <w:r w:rsidRPr="00DE791C">
              <w:rPr>
                <w:sz w:val="20"/>
                <w:szCs w:val="20"/>
              </w:rPr>
              <w:t>Break</w:t>
            </w:r>
          </w:p>
        </w:tc>
        <w:tc>
          <w:tcPr>
            <w:tcW w:w="1063" w:type="pct"/>
            <w:noWrap/>
            <w:hideMark/>
          </w:tcPr>
          <w:p w14:paraId="37F49C69" w14:textId="77777777" w:rsidR="00D47409" w:rsidRPr="00DE791C" w:rsidRDefault="00D47409" w:rsidP="00D573AD">
            <w:pPr>
              <w:jc w:val="left"/>
              <w:rPr>
                <w:sz w:val="20"/>
                <w:szCs w:val="20"/>
              </w:rPr>
            </w:pPr>
            <w:r w:rsidRPr="00DE791C">
              <w:rPr>
                <w:sz w:val="20"/>
                <w:szCs w:val="20"/>
              </w:rPr>
              <w:t>Break</w:t>
            </w:r>
          </w:p>
        </w:tc>
        <w:tc>
          <w:tcPr>
            <w:tcW w:w="1158" w:type="pct"/>
            <w:noWrap/>
            <w:hideMark/>
          </w:tcPr>
          <w:p w14:paraId="3E2141AF" w14:textId="77777777" w:rsidR="00D47409" w:rsidRPr="00DE791C" w:rsidRDefault="00D47409" w:rsidP="00D573AD">
            <w:pPr>
              <w:jc w:val="left"/>
              <w:rPr>
                <w:sz w:val="20"/>
                <w:szCs w:val="20"/>
              </w:rPr>
            </w:pPr>
            <w:r w:rsidRPr="00DE791C">
              <w:rPr>
                <w:sz w:val="20"/>
                <w:szCs w:val="20"/>
              </w:rPr>
              <w:t>Break</w:t>
            </w:r>
          </w:p>
        </w:tc>
        <w:tc>
          <w:tcPr>
            <w:tcW w:w="1134" w:type="pct"/>
            <w:noWrap/>
            <w:hideMark/>
          </w:tcPr>
          <w:p w14:paraId="1CE1BE34" w14:textId="77777777" w:rsidR="00D47409" w:rsidRPr="00DE791C" w:rsidRDefault="00D47409" w:rsidP="00D573AD">
            <w:pPr>
              <w:jc w:val="left"/>
              <w:rPr>
                <w:sz w:val="20"/>
                <w:szCs w:val="20"/>
              </w:rPr>
            </w:pPr>
            <w:r w:rsidRPr="00DE791C">
              <w:rPr>
                <w:sz w:val="20"/>
                <w:szCs w:val="20"/>
              </w:rPr>
              <w:t>Break</w:t>
            </w:r>
          </w:p>
        </w:tc>
      </w:tr>
      <w:tr w:rsidR="00D47409" w:rsidRPr="00DE791C" w14:paraId="6E71EFB6" w14:textId="77777777" w:rsidTr="00B36F7F">
        <w:trPr>
          <w:trHeight w:val="300"/>
        </w:trPr>
        <w:tc>
          <w:tcPr>
            <w:tcW w:w="553" w:type="pct"/>
            <w:noWrap/>
            <w:hideMark/>
          </w:tcPr>
          <w:p w14:paraId="15F86DFC" w14:textId="77777777" w:rsidR="00D47409" w:rsidRPr="00DE791C" w:rsidRDefault="00D47409" w:rsidP="00D573AD">
            <w:pPr>
              <w:jc w:val="left"/>
              <w:rPr>
                <w:sz w:val="20"/>
                <w:szCs w:val="20"/>
              </w:rPr>
            </w:pPr>
            <w:r w:rsidRPr="00DE791C">
              <w:rPr>
                <w:sz w:val="20"/>
                <w:szCs w:val="20"/>
              </w:rPr>
              <w:t>1530-1700</w:t>
            </w:r>
          </w:p>
        </w:tc>
        <w:tc>
          <w:tcPr>
            <w:tcW w:w="1093" w:type="pct"/>
            <w:noWrap/>
            <w:hideMark/>
          </w:tcPr>
          <w:p w14:paraId="76A022FA" w14:textId="6C4A3E4B" w:rsidR="00D47409" w:rsidRPr="00DE791C" w:rsidRDefault="00D47409" w:rsidP="00D573AD">
            <w:pPr>
              <w:jc w:val="left"/>
              <w:rPr>
                <w:sz w:val="20"/>
                <w:szCs w:val="20"/>
              </w:rPr>
            </w:pPr>
            <w:r w:rsidRPr="00DE791C">
              <w:rPr>
                <w:sz w:val="20"/>
                <w:szCs w:val="20"/>
              </w:rPr>
              <w:t xml:space="preserve">S4  </w:t>
            </w:r>
            <w:r w:rsidR="00C42BDD" w:rsidRPr="00DE791C">
              <w:rPr>
                <w:sz w:val="20"/>
                <w:szCs w:val="20"/>
              </w:rPr>
              <w:t xml:space="preserve"> Introduction policy/legal</w:t>
            </w:r>
            <w:r w:rsidRPr="00DE791C">
              <w:rPr>
                <w:sz w:val="20"/>
                <w:szCs w:val="20"/>
              </w:rPr>
              <w:t xml:space="preserve"> research, including</w:t>
            </w:r>
            <w:r w:rsidR="00C42BDD" w:rsidRPr="00DE791C">
              <w:rPr>
                <w:sz w:val="20"/>
                <w:szCs w:val="20"/>
              </w:rPr>
              <w:t xml:space="preserve"> case study on</w:t>
            </w:r>
            <w:r w:rsidRPr="00DE791C">
              <w:rPr>
                <w:sz w:val="20"/>
                <w:szCs w:val="20"/>
              </w:rPr>
              <w:t xml:space="preserve"> ICT policy &amp; regulation in federal states (RS) </w:t>
            </w:r>
          </w:p>
        </w:tc>
        <w:tc>
          <w:tcPr>
            <w:tcW w:w="1063" w:type="pct"/>
            <w:noWrap/>
            <w:hideMark/>
          </w:tcPr>
          <w:p w14:paraId="786AC721" w14:textId="60B89021" w:rsidR="00D47409" w:rsidRPr="00DE791C" w:rsidRDefault="00F3631D" w:rsidP="00C34EC3">
            <w:pPr>
              <w:jc w:val="left"/>
              <w:rPr>
                <w:sz w:val="20"/>
                <w:szCs w:val="20"/>
              </w:rPr>
            </w:pPr>
            <w:r w:rsidRPr="00DE791C">
              <w:rPr>
                <w:sz w:val="20"/>
                <w:szCs w:val="20"/>
              </w:rPr>
              <w:t>S9</w:t>
            </w:r>
            <w:r w:rsidR="00D47409" w:rsidRPr="00DE791C">
              <w:rPr>
                <w:sz w:val="20"/>
                <w:szCs w:val="20"/>
              </w:rPr>
              <w:t xml:space="preserve">  </w:t>
            </w:r>
            <w:r w:rsidR="00C34EC3" w:rsidRPr="00DE791C">
              <w:rPr>
                <w:sz w:val="20"/>
                <w:szCs w:val="20"/>
              </w:rPr>
              <w:t xml:space="preserve"> ICTs in disaster risk reduction and management (</w:t>
            </w:r>
            <w:proofErr w:type="spellStart"/>
            <w:r w:rsidR="00C34EC3" w:rsidRPr="00DE791C">
              <w:rPr>
                <w:sz w:val="20"/>
                <w:szCs w:val="20"/>
              </w:rPr>
              <w:t>Rajib</w:t>
            </w:r>
            <w:proofErr w:type="spellEnd"/>
            <w:r w:rsidR="00C34EC3" w:rsidRPr="00DE791C">
              <w:rPr>
                <w:sz w:val="20"/>
                <w:szCs w:val="20"/>
              </w:rPr>
              <w:t xml:space="preserve"> </w:t>
            </w:r>
            <w:proofErr w:type="spellStart"/>
            <w:r w:rsidR="00C34EC3" w:rsidRPr="00DE791C">
              <w:rPr>
                <w:sz w:val="20"/>
                <w:szCs w:val="20"/>
              </w:rPr>
              <w:t>Subba</w:t>
            </w:r>
            <w:proofErr w:type="spellEnd"/>
            <w:r w:rsidR="00C34EC3" w:rsidRPr="00DE791C">
              <w:rPr>
                <w:sz w:val="20"/>
                <w:szCs w:val="20"/>
              </w:rPr>
              <w:t xml:space="preserve"> </w:t>
            </w:r>
            <w:proofErr w:type="spellStart"/>
            <w:r w:rsidR="00C34EC3" w:rsidRPr="00DE791C">
              <w:rPr>
                <w:sz w:val="20"/>
                <w:szCs w:val="20"/>
              </w:rPr>
              <w:t>RaS</w:t>
            </w:r>
            <w:proofErr w:type="spellEnd"/>
            <w:r w:rsidR="00C34EC3" w:rsidRPr="00DE791C">
              <w:rPr>
                <w:sz w:val="20"/>
                <w:szCs w:val="20"/>
              </w:rPr>
              <w:t>)</w:t>
            </w:r>
          </w:p>
        </w:tc>
        <w:tc>
          <w:tcPr>
            <w:tcW w:w="1158" w:type="pct"/>
            <w:noWrap/>
            <w:hideMark/>
          </w:tcPr>
          <w:p w14:paraId="33663600" w14:textId="66ABA57E" w:rsidR="00D47409" w:rsidRPr="00DE791C" w:rsidRDefault="00F3631D" w:rsidP="00BC2BF2">
            <w:pPr>
              <w:jc w:val="left"/>
              <w:rPr>
                <w:sz w:val="20"/>
                <w:szCs w:val="20"/>
                <w:highlight w:val="yellow"/>
              </w:rPr>
            </w:pPr>
            <w:r w:rsidRPr="00DE791C">
              <w:rPr>
                <w:sz w:val="20"/>
                <w:szCs w:val="20"/>
              </w:rPr>
              <w:t xml:space="preserve">A4 </w:t>
            </w:r>
            <w:r w:rsidR="00BC2BF2" w:rsidRPr="00DE791C">
              <w:rPr>
                <w:sz w:val="20"/>
                <w:szCs w:val="20"/>
              </w:rPr>
              <w:t>Group work</w:t>
            </w:r>
            <w:r w:rsidR="00B36F7F" w:rsidRPr="00DE791C">
              <w:rPr>
                <w:sz w:val="20"/>
                <w:szCs w:val="20"/>
              </w:rPr>
              <w:t xml:space="preserve"> </w:t>
            </w:r>
          </w:p>
        </w:tc>
        <w:tc>
          <w:tcPr>
            <w:tcW w:w="1134" w:type="pct"/>
            <w:noWrap/>
            <w:hideMark/>
          </w:tcPr>
          <w:p w14:paraId="73325EF6" w14:textId="26F6A323" w:rsidR="00D47409" w:rsidRPr="00DE791C" w:rsidRDefault="00D47409" w:rsidP="00D573AD">
            <w:pPr>
              <w:jc w:val="left"/>
              <w:rPr>
                <w:sz w:val="20"/>
                <w:szCs w:val="20"/>
              </w:rPr>
            </w:pPr>
            <w:r w:rsidRPr="00DE791C">
              <w:rPr>
                <w:sz w:val="20"/>
                <w:szCs w:val="20"/>
              </w:rPr>
              <w:t>A</w:t>
            </w:r>
            <w:r w:rsidR="00F3631D" w:rsidRPr="00DE791C">
              <w:rPr>
                <w:sz w:val="20"/>
                <w:szCs w:val="20"/>
              </w:rPr>
              <w:t xml:space="preserve">8 </w:t>
            </w:r>
            <w:r w:rsidRPr="00DE791C">
              <w:rPr>
                <w:sz w:val="20"/>
                <w:szCs w:val="20"/>
              </w:rPr>
              <w:t>Mock public hearing &amp; critique</w:t>
            </w:r>
          </w:p>
        </w:tc>
      </w:tr>
      <w:tr w:rsidR="00D47409" w:rsidRPr="00DE791C" w14:paraId="79A875C0" w14:textId="77777777" w:rsidTr="00B36F7F">
        <w:trPr>
          <w:trHeight w:val="345"/>
        </w:trPr>
        <w:tc>
          <w:tcPr>
            <w:tcW w:w="553" w:type="pct"/>
            <w:noWrap/>
            <w:hideMark/>
          </w:tcPr>
          <w:p w14:paraId="24060C22" w14:textId="77777777" w:rsidR="00D47409" w:rsidRPr="00DE791C" w:rsidRDefault="00D47409" w:rsidP="00D573AD">
            <w:pPr>
              <w:jc w:val="left"/>
              <w:rPr>
                <w:sz w:val="20"/>
                <w:szCs w:val="20"/>
              </w:rPr>
            </w:pPr>
            <w:r w:rsidRPr="00DE791C">
              <w:rPr>
                <w:sz w:val="20"/>
                <w:szCs w:val="20"/>
              </w:rPr>
              <w:t>1700-</w:t>
            </w:r>
          </w:p>
        </w:tc>
        <w:tc>
          <w:tcPr>
            <w:tcW w:w="1093" w:type="pct"/>
            <w:noWrap/>
            <w:hideMark/>
          </w:tcPr>
          <w:p w14:paraId="170C474D" w14:textId="741F77A9" w:rsidR="00D47409" w:rsidRPr="00DE791C" w:rsidRDefault="00F3631D" w:rsidP="00D573AD">
            <w:pPr>
              <w:jc w:val="left"/>
              <w:rPr>
                <w:sz w:val="20"/>
                <w:szCs w:val="20"/>
              </w:rPr>
            </w:pPr>
            <w:r w:rsidRPr="00DE791C">
              <w:rPr>
                <w:sz w:val="20"/>
                <w:szCs w:val="20"/>
              </w:rPr>
              <w:t xml:space="preserve">A2 </w:t>
            </w:r>
            <w:r w:rsidR="00D47409" w:rsidRPr="00DE791C">
              <w:rPr>
                <w:sz w:val="20"/>
                <w:szCs w:val="20"/>
              </w:rPr>
              <w:t>Group work</w:t>
            </w:r>
          </w:p>
        </w:tc>
        <w:tc>
          <w:tcPr>
            <w:tcW w:w="1063" w:type="pct"/>
            <w:noWrap/>
            <w:hideMark/>
          </w:tcPr>
          <w:p w14:paraId="4D180B5F" w14:textId="763E8A9F" w:rsidR="00D47409" w:rsidRPr="00DE791C" w:rsidRDefault="00F3631D" w:rsidP="00D573AD">
            <w:pPr>
              <w:jc w:val="left"/>
              <w:rPr>
                <w:sz w:val="20"/>
                <w:szCs w:val="20"/>
              </w:rPr>
            </w:pPr>
            <w:r w:rsidRPr="00DE791C">
              <w:rPr>
                <w:sz w:val="20"/>
                <w:szCs w:val="20"/>
              </w:rPr>
              <w:t xml:space="preserve">A3 </w:t>
            </w:r>
            <w:r w:rsidR="00D47409" w:rsidRPr="00DE791C">
              <w:rPr>
                <w:sz w:val="20"/>
                <w:szCs w:val="20"/>
              </w:rPr>
              <w:t>Group work</w:t>
            </w:r>
          </w:p>
        </w:tc>
        <w:tc>
          <w:tcPr>
            <w:tcW w:w="1158" w:type="pct"/>
            <w:noWrap/>
            <w:hideMark/>
          </w:tcPr>
          <w:p w14:paraId="2E791068" w14:textId="61F8BC58" w:rsidR="00D47409" w:rsidRPr="00DE791C" w:rsidRDefault="00F3631D" w:rsidP="00D573AD">
            <w:pPr>
              <w:jc w:val="left"/>
              <w:rPr>
                <w:sz w:val="20"/>
                <w:szCs w:val="20"/>
              </w:rPr>
            </w:pPr>
            <w:r w:rsidRPr="00DE791C">
              <w:rPr>
                <w:sz w:val="20"/>
                <w:szCs w:val="20"/>
              </w:rPr>
              <w:t xml:space="preserve">A5 </w:t>
            </w:r>
            <w:r w:rsidR="00D47409" w:rsidRPr="00DE791C">
              <w:rPr>
                <w:sz w:val="20"/>
                <w:szCs w:val="20"/>
              </w:rPr>
              <w:t>Group work</w:t>
            </w:r>
          </w:p>
        </w:tc>
        <w:tc>
          <w:tcPr>
            <w:tcW w:w="1134" w:type="pct"/>
            <w:noWrap/>
            <w:hideMark/>
          </w:tcPr>
          <w:p w14:paraId="757737E6" w14:textId="77777777" w:rsidR="00D47409" w:rsidRPr="00DE791C" w:rsidRDefault="00D47409" w:rsidP="00D573AD">
            <w:pPr>
              <w:jc w:val="left"/>
              <w:rPr>
                <w:sz w:val="20"/>
                <w:szCs w:val="20"/>
              </w:rPr>
            </w:pPr>
            <w:r w:rsidRPr="00DE791C">
              <w:rPr>
                <w:sz w:val="20"/>
                <w:szCs w:val="20"/>
              </w:rPr>
              <w:t>Certificate dinner</w:t>
            </w:r>
          </w:p>
        </w:tc>
      </w:tr>
    </w:tbl>
    <w:p w14:paraId="5F09F9EF" w14:textId="77777777" w:rsidR="00D47409" w:rsidRDefault="00D47409"/>
    <w:p w14:paraId="57AFA320" w14:textId="77777777" w:rsidR="00DE791C" w:rsidRDefault="00DE791C" w:rsidP="00DE791C">
      <w:pPr>
        <w:pStyle w:val="Heading1"/>
        <w:spacing w:before="0" w:line="240" w:lineRule="auto"/>
        <w:rPr>
          <w:rFonts w:cs="Nirmala UI"/>
        </w:rPr>
      </w:pPr>
    </w:p>
    <w:p w14:paraId="658F6F84" w14:textId="708612C9" w:rsidR="003B5BA1" w:rsidRDefault="00DE791C" w:rsidP="00DE791C">
      <w:pPr>
        <w:pStyle w:val="Heading1"/>
        <w:numPr>
          <w:ilvl w:val="0"/>
          <w:numId w:val="1"/>
        </w:numPr>
        <w:spacing w:before="0" w:line="240" w:lineRule="auto"/>
      </w:pPr>
      <w:r>
        <w:rPr>
          <w:rFonts w:cs="Nirmala UI"/>
        </w:rPr>
        <w:t xml:space="preserve"> </w:t>
      </w:r>
      <w:r w:rsidR="003B5BA1">
        <w:t>Faculty</w:t>
      </w:r>
    </w:p>
    <w:p w14:paraId="7082721B" w14:textId="77777777" w:rsidR="00D47409" w:rsidRDefault="00D47409" w:rsidP="000F697B">
      <w:pPr>
        <w:spacing w:line="240" w:lineRule="auto"/>
        <w:rPr>
          <w:rFonts w:cstheme="minorHAnsi"/>
          <w:b/>
          <w:sz w:val="20"/>
          <w:szCs w:val="20"/>
        </w:rPr>
      </w:pPr>
    </w:p>
    <w:p w14:paraId="1EEFAEF7" w14:textId="40D68925" w:rsidR="008A470F" w:rsidRDefault="00CD0A63" w:rsidP="000F697B">
      <w:pPr>
        <w:spacing w:line="240" w:lineRule="auto"/>
        <w:rPr>
          <w:rFonts w:cstheme="minorHAnsi"/>
          <w:color w:val="000000"/>
          <w:sz w:val="20"/>
          <w:szCs w:val="20"/>
        </w:rPr>
      </w:pPr>
      <w:r w:rsidRPr="000F697B">
        <w:rPr>
          <w:rFonts w:cstheme="minorHAnsi"/>
          <w:b/>
          <w:sz w:val="20"/>
          <w:szCs w:val="20"/>
        </w:rPr>
        <w:lastRenderedPageBreak/>
        <w:t>Rohan Samarajiva PhD</w:t>
      </w:r>
      <w:r w:rsidR="00091FE4">
        <w:rPr>
          <w:rFonts w:cstheme="minorHAnsi"/>
          <w:b/>
          <w:sz w:val="20"/>
          <w:szCs w:val="20"/>
        </w:rPr>
        <w:t>, Course Director,</w:t>
      </w:r>
      <w:r w:rsidR="00CF7D28" w:rsidRPr="000F697B">
        <w:rPr>
          <w:rFonts w:cstheme="minorHAnsi"/>
          <w:b/>
          <w:sz w:val="20"/>
          <w:szCs w:val="20"/>
        </w:rPr>
        <w:t xml:space="preserve"> </w:t>
      </w:r>
      <w:r w:rsidR="009428DB" w:rsidRPr="000F697B">
        <w:rPr>
          <w:rFonts w:cstheme="minorHAnsi"/>
          <w:color w:val="000000"/>
          <w:sz w:val="20"/>
          <w:szCs w:val="20"/>
        </w:rPr>
        <w:t>was the founding CEO (2004 -</w:t>
      </w:r>
      <w:r w:rsidR="00B2167C" w:rsidRPr="000F697B">
        <w:rPr>
          <w:rFonts w:cstheme="minorHAnsi"/>
          <w:color w:val="000000"/>
          <w:sz w:val="20"/>
          <w:szCs w:val="20"/>
        </w:rPr>
        <w:t xml:space="preserve"> 2012) and </w:t>
      </w:r>
      <w:r w:rsidR="00A77A6B" w:rsidRPr="000F697B">
        <w:rPr>
          <w:rFonts w:cstheme="minorHAnsi"/>
          <w:color w:val="000000"/>
          <w:sz w:val="20"/>
          <w:szCs w:val="20"/>
        </w:rPr>
        <w:t xml:space="preserve">is </w:t>
      </w:r>
      <w:r w:rsidR="00B2167C" w:rsidRPr="000F697B">
        <w:rPr>
          <w:rFonts w:cstheme="minorHAnsi"/>
          <w:color w:val="000000"/>
          <w:sz w:val="20"/>
          <w:szCs w:val="20"/>
        </w:rPr>
        <w:t>Chair (2004 –</w:t>
      </w:r>
      <w:r w:rsidR="009428DB" w:rsidRPr="000F697B">
        <w:rPr>
          <w:rFonts w:cstheme="minorHAnsi"/>
          <w:color w:val="000000"/>
          <w:sz w:val="20"/>
          <w:szCs w:val="20"/>
        </w:rPr>
        <w:t xml:space="preserve">) of </w:t>
      </w:r>
      <w:r w:rsidR="00C71D0F" w:rsidRPr="000F697B">
        <w:rPr>
          <w:rFonts w:cstheme="minorHAnsi"/>
          <w:sz w:val="20"/>
          <w:szCs w:val="20"/>
        </w:rPr>
        <w:t>LIRNE</w:t>
      </w:r>
      <w:r w:rsidR="00C71D0F" w:rsidRPr="000F697B">
        <w:rPr>
          <w:rFonts w:cstheme="minorHAnsi"/>
          <w:i/>
          <w:iCs/>
          <w:sz w:val="20"/>
          <w:szCs w:val="20"/>
        </w:rPr>
        <w:t>asia</w:t>
      </w:r>
      <w:r w:rsidR="00A77A6B" w:rsidRPr="000F697B">
        <w:rPr>
          <w:rFonts w:cstheme="minorHAnsi"/>
          <w:color w:val="000000"/>
          <w:sz w:val="20"/>
          <w:szCs w:val="20"/>
        </w:rPr>
        <w:t xml:space="preserve">.  </w:t>
      </w:r>
      <w:r w:rsidR="009428DB" w:rsidRPr="000F697B">
        <w:rPr>
          <w:rFonts w:cstheme="minorHAnsi"/>
          <w:color w:val="000000"/>
          <w:sz w:val="20"/>
          <w:szCs w:val="20"/>
        </w:rPr>
        <w:t xml:space="preserve">Previously he was the Team Leader at the Sri Lanka Ministry for Economic Reform, Science and Technology (2002-04) responsible for infrastructure reforms, including participation in the design of the USD 83 million e Sri Lanka Initiative.  He was Director General of Telecommunications in Sri Lanka (1998-99), a founder director of the ICT Agency of Sri Lanka (2003-05), Honorary Professor at the University of </w:t>
      </w:r>
      <w:proofErr w:type="spellStart"/>
      <w:r w:rsidR="009428DB" w:rsidRPr="000F697B">
        <w:rPr>
          <w:rFonts w:cstheme="minorHAnsi"/>
          <w:color w:val="000000"/>
          <w:sz w:val="20"/>
          <w:szCs w:val="20"/>
        </w:rPr>
        <w:t>Moratuwa</w:t>
      </w:r>
      <w:proofErr w:type="spellEnd"/>
      <w:r w:rsidR="009428DB" w:rsidRPr="000F697B">
        <w:rPr>
          <w:rFonts w:cstheme="minorHAnsi"/>
          <w:color w:val="000000"/>
          <w:sz w:val="20"/>
          <w:szCs w:val="20"/>
        </w:rPr>
        <w:t xml:space="preserve"> in Sri Lanka (2003-04), Visiting Professor of Economics of Infrastructures at the Delft University of Technology in the Netherlands (2000-03) and Associate Professor of Communication and Public Policy at the Ohio State University in the US (1987-2000).  He was Policy Advisor to the Ministry of Post and T</w:t>
      </w:r>
      <w:r w:rsidR="00A77A6B" w:rsidRPr="000F697B">
        <w:rPr>
          <w:rFonts w:cstheme="minorHAnsi"/>
          <w:color w:val="000000"/>
          <w:sz w:val="20"/>
          <w:szCs w:val="20"/>
        </w:rPr>
        <w:t xml:space="preserve">elecom in Bangladesh (2007-09).  </w:t>
      </w:r>
      <w:r w:rsidR="009428DB" w:rsidRPr="000F697B">
        <w:rPr>
          <w:rFonts w:cstheme="minorHAnsi"/>
          <w:color w:val="000000"/>
          <w:sz w:val="20"/>
          <w:szCs w:val="20"/>
        </w:rPr>
        <w:t xml:space="preserve">He serves </w:t>
      </w:r>
      <w:r w:rsidR="009B441E">
        <w:rPr>
          <w:rFonts w:cstheme="minorHAnsi"/>
          <w:color w:val="000000"/>
          <w:sz w:val="20"/>
          <w:szCs w:val="20"/>
        </w:rPr>
        <w:t xml:space="preserve">on Privacy Advisory Group of UN Global Pulse and </w:t>
      </w:r>
      <w:r w:rsidR="009428DB" w:rsidRPr="000F697B">
        <w:rPr>
          <w:rFonts w:cstheme="minorHAnsi"/>
          <w:color w:val="000000"/>
          <w:sz w:val="20"/>
          <w:szCs w:val="20"/>
        </w:rPr>
        <w:t xml:space="preserve">as Senior Advisor to </w:t>
      </w:r>
      <w:r w:rsidR="009B441E">
        <w:rPr>
          <w:rFonts w:cstheme="minorHAnsi"/>
          <w:color w:val="000000"/>
          <w:sz w:val="20"/>
          <w:szCs w:val="20"/>
        </w:rPr>
        <w:t xml:space="preserve">the ICT Unit of </w:t>
      </w:r>
      <w:r w:rsidR="009428DB" w:rsidRPr="000F697B">
        <w:rPr>
          <w:rFonts w:cstheme="minorHAnsi"/>
          <w:color w:val="000000"/>
          <w:sz w:val="20"/>
          <w:szCs w:val="20"/>
        </w:rPr>
        <w:t>Sarvodaya (Sri Lanka’s largest community ba</w:t>
      </w:r>
      <w:r w:rsidR="009B441E">
        <w:rPr>
          <w:rFonts w:cstheme="minorHAnsi"/>
          <w:color w:val="000000"/>
          <w:sz w:val="20"/>
          <w:szCs w:val="20"/>
        </w:rPr>
        <w:t>sed organization)</w:t>
      </w:r>
      <w:r w:rsidR="009428DB" w:rsidRPr="000F697B">
        <w:rPr>
          <w:rFonts w:cstheme="minorHAnsi"/>
          <w:color w:val="000000"/>
          <w:sz w:val="20"/>
          <w:szCs w:val="20"/>
        </w:rPr>
        <w:t xml:space="preserve">.  Samarajiva is a Board Member of Communication Policy Research south, an initiative to identify and foster policy intellectuals in emerging Asia. He serves </w:t>
      </w:r>
      <w:r w:rsidR="00AA0D8C" w:rsidRPr="000F697B">
        <w:rPr>
          <w:rFonts w:cstheme="minorHAnsi"/>
          <w:color w:val="000000"/>
          <w:sz w:val="20"/>
          <w:szCs w:val="20"/>
        </w:rPr>
        <w:t>on the editorial boards of five</w:t>
      </w:r>
      <w:r w:rsidR="009428DB" w:rsidRPr="000F697B">
        <w:rPr>
          <w:rFonts w:cstheme="minorHAnsi"/>
          <w:color w:val="000000"/>
          <w:sz w:val="20"/>
          <w:szCs w:val="20"/>
        </w:rPr>
        <w:t xml:space="preserve"> academic journals.</w:t>
      </w:r>
      <w:r w:rsidR="007D3BC9" w:rsidRPr="000F697B">
        <w:rPr>
          <w:rFonts w:cstheme="minorHAnsi"/>
          <w:color w:val="000000"/>
          <w:sz w:val="20"/>
          <w:szCs w:val="20"/>
        </w:rPr>
        <w:t xml:space="preserve"> </w:t>
      </w:r>
    </w:p>
    <w:p w14:paraId="6E1962EA" w14:textId="77777777" w:rsidR="00971BE6" w:rsidRPr="00971BE6" w:rsidRDefault="00971BE6" w:rsidP="00971BE6">
      <w:pPr>
        <w:spacing w:line="240" w:lineRule="auto"/>
        <w:rPr>
          <w:rFonts w:cstheme="minorHAnsi"/>
          <w:color w:val="000000"/>
          <w:sz w:val="20"/>
          <w:szCs w:val="20"/>
        </w:rPr>
      </w:pPr>
      <w:proofErr w:type="spellStart"/>
      <w:r w:rsidRPr="00971BE6">
        <w:rPr>
          <w:rFonts w:cstheme="minorHAnsi"/>
          <w:b/>
          <w:bCs/>
          <w:color w:val="000000"/>
          <w:sz w:val="20"/>
          <w:szCs w:val="20"/>
        </w:rPr>
        <w:t>Dileep</w:t>
      </w:r>
      <w:proofErr w:type="spellEnd"/>
      <w:r w:rsidRPr="00971BE6">
        <w:rPr>
          <w:rFonts w:cstheme="minorHAnsi"/>
          <w:b/>
          <w:bCs/>
          <w:color w:val="000000"/>
          <w:sz w:val="20"/>
          <w:szCs w:val="20"/>
        </w:rPr>
        <w:t xml:space="preserve"> Agrawal</w:t>
      </w:r>
      <w:r w:rsidRPr="00971BE6">
        <w:rPr>
          <w:rFonts w:cstheme="minorHAnsi"/>
          <w:color w:val="000000"/>
          <w:sz w:val="20"/>
          <w:szCs w:val="20"/>
        </w:rPr>
        <w:t xml:space="preserve"> is President, ISP Association of Nepal and Managing Director of </w:t>
      </w:r>
      <w:proofErr w:type="spellStart"/>
      <w:r w:rsidRPr="00971BE6">
        <w:rPr>
          <w:rFonts w:cstheme="minorHAnsi"/>
          <w:color w:val="000000"/>
          <w:sz w:val="20"/>
          <w:szCs w:val="20"/>
        </w:rPr>
        <w:t>Worldlink</w:t>
      </w:r>
      <w:proofErr w:type="spellEnd"/>
      <w:r w:rsidRPr="00971BE6">
        <w:rPr>
          <w:rFonts w:cstheme="minorHAnsi"/>
          <w:color w:val="000000"/>
          <w:sz w:val="20"/>
          <w:szCs w:val="20"/>
        </w:rPr>
        <w:t xml:space="preserve"> Communications Private Limited, one of the largest privet ISP of Nepal. He founded the </w:t>
      </w:r>
      <w:proofErr w:type="spellStart"/>
      <w:r w:rsidRPr="00971BE6">
        <w:rPr>
          <w:rFonts w:cstheme="minorHAnsi"/>
          <w:color w:val="000000"/>
          <w:sz w:val="20"/>
          <w:szCs w:val="20"/>
        </w:rPr>
        <w:t>WorldLink</w:t>
      </w:r>
      <w:proofErr w:type="spellEnd"/>
      <w:r w:rsidRPr="00971BE6">
        <w:rPr>
          <w:rFonts w:cstheme="minorHAnsi"/>
          <w:color w:val="000000"/>
          <w:sz w:val="20"/>
          <w:szCs w:val="20"/>
        </w:rPr>
        <w:t xml:space="preserve"> in1995 AD at the age of 22. Over the years, </w:t>
      </w:r>
      <w:proofErr w:type="spellStart"/>
      <w:r w:rsidRPr="00971BE6">
        <w:rPr>
          <w:rFonts w:cstheme="minorHAnsi"/>
          <w:color w:val="000000"/>
          <w:sz w:val="20"/>
          <w:szCs w:val="20"/>
        </w:rPr>
        <w:t>WorldLink</w:t>
      </w:r>
      <w:proofErr w:type="spellEnd"/>
      <w:r w:rsidRPr="00971BE6">
        <w:rPr>
          <w:rFonts w:cstheme="minorHAnsi"/>
          <w:color w:val="000000"/>
          <w:sz w:val="20"/>
          <w:szCs w:val="20"/>
        </w:rPr>
        <w:t xml:space="preserve"> has registered tremendous sustained growth and provides services ranging from Internet connectivity and related services to data networking, voice and software development. </w:t>
      </w:r>
      <w:proofErr w:type="spellStart"/>
      <w:r w:rsidRPr="00971BE6">
        <w:rPr>
          <w:rFonts w:cstheme="minorHAnsi"/>
          <w:color w:val="000000"/>
          <w:sz w:val="20"/>
          <w:szCs w:val="20"/>
        </w:rPr>
        <w:t>WorldLink</w:t>
      </w:r>
      <w:proofErr w:type="spellEnd"/>
      <w:r w:rsidRPr="00971BE6">
        <w:rPr>
          <w:rFonts w:cstheme="minorHAnsi"/>
          <w:color w:val="000000"/>
          <w:sz w:val="20"/>
          <w:szCs w:val="20"/>
        </w:rPr>
        <w:t xml:space="preserve"> has grown to be not only the largest ISP in Nepal, but one of the largest IT services companies employing over 600 people throughout the country. Mr. Agrawal is in-charge of overall corporate management, business development, and technical administration. A recognized pioneer in Nepal’s IT industry, he regularly appears in national and international media. He has co-founded several companies and non-profit organizations, and serves on their boards. Mr. Agrawal is a graduate from Bates College </w:t>
      </w:r>
      <w:r>
        <w:rPr>
          <w:rFonts w:cstheme="minorHAnsi"/>
          <w:color w:val="000000"/>
          <w:sz w:val="20"/>
          <w:szCs w:val="20"/>
        </w:rPr>
        <w:t>in the US. His specialties are managing high growth companies, incubating start-ups, creating new ventures, c</w:t>
      </w:r>
      <w:r w:rsidRPr="00971BE6">
        <w:rPr>
          <w:rFonts w:cstheme="minorHAnsi"/>
          <w:color w:val="000000"/>
          <w:sz w:val="20"/>
          <w:szCs w:val="20"/>
        </w:rPr>
        <w:t>orpora</w:t>
      </w:r>
      <w:r>
        <w:rPr>
          <w:rFonts w:cstheme="minorHAnsi"/>
          <w:color w:val="000000"/>
          <w:sz w:val="20"/>
          <w:szCs w:val="20"/>
        </w:rPr>
        <w:t>te development and automation, network architecture, software design, m</w:t>
      </w:r>
      <w:r w:rsidRPr="00971BE6">
        <w:rPr>
          <w:rFonts w:cstheme="minorHAnsi"/>
          <w:color w:val="000000"/>
          <w:sz w:val="20"/>
          <w:szCs w:val="20"/>
        </w:rPr>
        <w:t>anagement information systems. [dileep.agrawal@worldlink.com.np, dileep@wlink.com.np]</w:t>
      </w:r>
    </w:p>
    <w:p w14:paraId="2B326B06" w14:textId="77777777" w:rsidR="00971BE6" w:rsidRPr="00971BE6" w:rsidRDefault="00971BE6" w:rsidP="00971BE6">
      <w:pPr>
        <w:spacing w:line="240" w:lineRule="auto"/>
        <w:rPr>
          <w:rFonts w:cstheme="minorHAnsi"/>
          <w:color w:val="000000"/>
          <w:sz w:val="20"/>
          <w:szCs w:val="20"/>
        </w:rPr>
      </w:pPr>
      <w:proofErr w:type="spellStart"/>
      <w:r w:rsidRPr="00971BE6">
        <w:rPr>
          <w:rFonts w:cstheme="minorHAnsi"/>
          <w:b/>
          <w:bCs/>
          <w:color w:val="000000"/>
          <w:sz w:val="20"/>
          <w:szCs w:val="20"/>
        </w:rPr>
        <w:t>Lochan</w:t>
      </w:r>
      <w:proofErr w:type="spellEnd"/>
      <w:r w:rsidRPr="00971BE6">
        <w:rPr>
          <w:rFonts w:cstheme="minorHAnsi"/>
          <w:b/>
          <w:bCs/>
          <w:color w:val="000000"/>
          <w:sz w:val="20"/>
          <w:szCs w:val="20"/>
        </w:rPr>
        <w:t xml:space="preserve"> </w:t>
      </w:r>
      <w:proofErr w:type="spellStart"/>
      <w:r w:rsidRPr="00971BE6">
        <w:rPr>
          <w:rFonts w:cstheme="minorHAnsi"/>
          <w:b/>
          <w:bCs/>
          <w:color w:val="000000"/>
          <w:sz w:val="20"/>
          <w:szCs w:val="20"/>
        </w:rPr>
        <w:t>Lal</w:t>
      </w:r>
      <w:proofErr w:type="spellEnd"/>
      <w:r w:rsidRPr="00971BE6">
        <w:rPr>
          <w:rFonts w:cstheme="minorHAnsi"/>
          <w:b/>
          <w:bCs/>
          <w:color w:val="000000"/>
          <w:sz w:val="20"/>
          <w:szCs w:val="20"/>
        </w:rPr>
        <w:t xml:space="preserve"> </w:t>
      </w:r>
      <w:proofErr w:type="spellStart"/>
      <w:r w:rsidRPr="00971BE6">
        <w:rPr>
          <w:rFonts w:cstheme="minorHAnsi"/>
          <w:b/>
          <w:bCs/>
          <w:color w:val="000000"/>
          <w:sz w:val="20"/>
          <w:szCs w:val="20"/>
        </w:rPr>
        <w:t>Amatya</w:t>
      </w:r>
      <w:proofErr w:type="spellEnd"/>
      <w:r>
        <w:rPr>
          <w:rFonts w:cstheme="minorHAnsi"/>
          <w:color w:val="000000"/>
          <w:sz w:val="20"/>
          <w:szCs w:val="20"/>
        </w:rPr>
        <w:t xml:space="preserve"> is </w:t>
      </w:r>
      <w:r w:rsidRPr="00971BE6">
        <w:rPr>
          <w:rFonts w:cstheme="minorHAnsi"/>
          <w:color w:val="000000"/>
          <w:sz w:val="20"/>
          <w:szCs w:val="20"/>
        </w:rPr>
        <w:t>a noted electronics and telecommunication engineer by training is the Director of Operation at Nepal Telecom, the government owned telecommunication operator.  He is the President at Society of Electronics and Communication Engineers Nepal and past president of Federation of Computer Association Nepal. He has experience of handling major broad</w:t>
      </w:r>
      <w:r>
        <w:rPr>
          <w:rFonts w:cstheme="minorHAnsi"/>
          <w:color w:val="000000"/>
          <w:sz w:val="20"/>
          <w:szCs w:val="20"/>
        </w:rPr>
        <w:t>band related projects in the Nepal telecommunication sector that includes p</w:t>
      </w:r>
      <w:r w:rsidRPr="00971BE6">
        <w:rPr>
          <w:rFonts w:cstheme="minorHAnsi"/>
          <w:color w:val="000000"/>
          <w:sz w:val="20"/>
          <w:szCs w:val="20"/>
        </w:rPr>
        <w:t>rojects on CDMA/</w:t>
      </w:r>
      <w:r>
        <w:rPr>
          <w:rFonts w:cstheme="minorHAnsi"/>
          <w:color w:val="000000"/>
          <w:sz w:val="20"/>
          <w:szCs w:val="20"/>
        </w:rPr>
        <w:t>EVDO, IP transmission backbone, GSM business, etc. He obtained his M</w:t>
      </w:r>
      <w:r w:rsidRPr="00971BE6">
        <w:rPr>
          <w:rFonts w:cstheme="minorHAnsi"/>
          <w:color w:val="000000"/>
          <w:sz w:val="20"/>
          <w:szCs w:val="20"/>
        </w:rPr>
        <w:t>aster</w:t>
      </w:r>
      <w:r>
        <w:rPr>
          <w:rFonts w:cstheme="minorHAnsi"/>
          <w:color w:val="000000"/>
          <w:sz w:val="20"/>
          <w:szCs w:val="20"/>
        </w:rPr>
        <w:t>’</w:t>
      </w:r>
      <w:r w:rsidRPr="00971BE6">
        <w:rPr>
          <w:rFonts w:cstheme="minorHAnsi"/>
          <w:color w:val="000000"/>
          <w:sz w:val="20"/>
          <w:szCs w:val="20"/>
        </w:rPr>
        <w:t xml:space="preserve">s degree on computer engineering from Lvov </w:t>
      </w:r>
      <w:proofErr w:type="spellStart"/>
      <w:r w:rsidRPr="00971BE6">
        <w:rPr>
          <w:rFonts w:cstheme="minorHAnsi"/>
          <w:color w:val="000000"/>
          <w:sz w:val="20"/>
          <w:szCs w:val="20"/>
        </w:rPr>
        <w:t>Polytechnical</w:t>
      </w:r>
      <w:proofErr w:type="spellEnd"/>
      <w:r w:rsidRPr="00971BE6">
        <w:rPr>
          <w:rFonts w:cstheme="minorHAnsi"/>
          <w:color w:val="000000"/>
          <w:sz w:val="20"/>
          <w:szCs w:val="20"/>
        </w:rPr>
        <w:t xml:space="preserve"> Institute, Ukraine.[lochan.amatya@ntc.net.np,]</w:t>
      </w:r>
    </w:p>
    <w:p w14:paraId="4F214B9D" w14:textId="06AF96FE" w:rsidR="00DE791C" w:rsidRDefault="00ED4BF9" w:rsidP="00DE791C">
      <w:pPr>
        <w:spacing w:line="240" w:lineRule="auto"/>
        <w:rPr>
          <w:rFonts w:cs="Nirmala UI"/>
          <w:b/>
          <w:bCs/>
          <w:sz w:val="20"/>
          <w:szCs w:val="18"/>
        </w:rPr>
      </w:pPr>
      <w:proofErr w:type="spellStart"/>
      <w:r>
        <w:rPr>
          <w:rFonts w:cstheme="minorHAnsi"/>
          <w:b/>
          <w:bCs/>
          <w:color w:val="000000"/>
          <w:sz w:val="20"/>
          <w:szCs w:val="20"/>
        </w:rPr>
        <w:t>Baburam</w:t>
      </w:r>
      <w:proofErr w:type="spellEnd"/>
      <w:r>
        <w:rPr>
          <w:rFonts w:cstheme="minorHAnsi"/>
          <w:b/>
          <w:bCs/>
          <w:color w:val="000000"/>
          <w:sz w:val="20"/>
          <w:szCs w:val="20"/>
        </w:rPr>
        <w:t xml:space="preserve"> </w:t>
      </w:r>
      <w:proofErr w:type="spellStart"/>
      <w:r>
        <w:rPr>
          <w:rFonts w:cstheme="minorHAnsi"/>
          <w:b/>
          <w:bCs/>
          <w:color w:val="000000"/>
          <w:sz w:val="20"/>
          <w:szCs w:val="20"/>
        </w:rPr>
        <w:t>Aryal</w:t>
      </w:r>
      <w:proofErr w:type="spellEnd"/>
      <w:r w:rsidR="00DE791C">
        <w:rPr>
          <w:rFonts w:cs="Nirmala UI" w:hint="cs"/>
          <w:b/>
          <w:bCs/>
          <w:color w:val="000000"/>
          <w:sz w:val="20"/>
          <w:szCs w:val="20"/>
          <w:cs/>
        </w:rPr>
        <w:t xml:space="preserve"> </w:t>
      </w:r>
      <w:r w:rsidR="00DE791C" w:rsidRPr="00DE791C">
        <w:rPr>
          <w:rFonts w:cs="Nirmala UI"/>
          <w:color w:val="000000"/>
          <w:sz w:val="20"/>
          <w:szCs w:val="20"/>
        </w:rPr>
        <w:t>is a practicing lawyer with focus on Telecommunication, Cyber Security, Cyber Crime, Media Laws a</w:t>
      </w:r>
      <w:r w:rsidR="00DE791C">
        <w:rPr>
          <w:rFonts w:cs="Nirmala UI"/>
          <w:color w:val="000000"/>
          <w:sz w:val="20"/>
          <w:szCs w:val="20"/>
        </w:rPr>
        <w:t>nd Intellectual Property laws.  He i</w:t>
      </w:r>
      <w:r w:rsidR="00DE791C" w:rsidRPr="00DE791C">
        <w:rPr>
          <w:rFonts w:cs="Nirmala UI"/>
          <w:color w:val="000000"/>
          <w:sz w:val="20"/>
          <w:szCs w:val="20"/>
        </w:rPr>
        <w:t xml:space="preserve">s the Past President of Internet Society Nepal Chapter. He founded Centre for Law and Technology Private Limited (CLT), a dedicated ICT and Media law firm which is the first law firm that specializes Information Technology Laws in Nepal and Delta Security Private Limited, a </w:t>
      </w:r>
      <w:proofErr w:type="spellStart"/>
      <w:r w:rsidR="00DE791C" w:rsidRPr="00DE791C">
        <w:rPr>
          <w:rFonts w:cs="Nirmala UI"/>
          <w:color w:val="000000"/>
          <w:sz w:val="20"/>
          <w:szCs w:val="20"/>
        </w:rPr>
        <w:t>Cybersecurity</w:t>
      </w:r>
      <w:proofErr w:type="spellEnd"/>
      <w:r w:rsidR="00DE791C" w:rsidRPr="00DE791C">
        <w:rPr>
          <w:rFonts w:cs="Nirmala UI"/>
          <w:color w:val="000000"/>
          <w:sz w:val="20"/>
          <w:szCs w:val="20"/>
        </w:rPr>
        <w:t xml:space="preserve"> consulting firm that provides </w:t>
      </w:r>
      <w:proofErr w:type="spellStart"/>
      <w:r w:rsidR="00DE791C" w:rsidRPr="00DE791C">
        <w:rPr>
          <w:rFonts w:cs="Nirmala UI"/>
          <w:color w:val="000000"/>
          <w:sz w:val="20"/>
          <w:szCs w:val="20"/>
        </w:rPr>
        <w:t>Cybersecurity</w:t>
      </w:r>
      <w:proofErr w:type="spellEnd"/>
      <w:r w:rsidR="00DE791C" w:rsidRPr="00DE791C">
        <w:rPr>
          <w:rFonts w:cs="Nirmala UI"/>
          <w:color w:val="000000"/>
          <w:sz w:val="20"/>
          <w:szCs w:val="20"/>
        </w:rPr>
        <w:t xml:space="preserve"> solutions, IT and Security Audits and Cybercrime investigations. As a law and policy consultant </w:t>
      </w:r>
      <w:proofErr w:type="spellStart"/>
      <w:r w:rsidR="00DE791C" w:rsidRPr="00DE791C">
        <w:rPr>
          <w:rFonts w:cs="Nirmala UI"/>
          <w:color w:val="000000"/>
          <w:sz w:val="20"/>
          <w:szCs w:val="20"/>
        </w:rPr>
        <w:t>Mr</w:t>
      </w:r>
      <w:proofErr w:type="spellEnd"/>
      <w:r w:rsidR="00DE791C" w:rsidRPr="00DE791C">
        <w:rPr>
          <w:rFonts w:cs="Nirmala UI"/>
          <w:color w:val="000000"/>
          <w:sz w:val="20"/>
          <w:szCs w:val="20"/>
        </w:rPr>
        <w:t xml:space="preserve"> </w:t>
      </w:r>
      <w:proofErr w:type="spellStart"/>
      <w:r w:rsidR="00DE791C" w:rsidRPr="00DE791C">
        <w:rPr>
          <w:rFonts w:cs="Nirmala UI"/>
          <w:color w:val="000000"/>
          <w:sz w:val="20"/>
          <w:szCs w:val="20"/>
        </w:rPr>
        <w:t>Aryal</w:t>
      </w:r>
      <w:proofErr w:type="spellEnd"/>
      <w:r w:rsidR="00DE791C" w:rsidRPr="00DE791C">
        <w:rPr>
          <w:rFonts w:cs="Nirmala UI"/>
          <w:color w:val="000000"/>
          <w:sz w:val="20"/>
          <w:szCs w:val="20"/>
        </w:rPr>
        <w:t xml:space="preserve"> has led various ICT and Media Law related law and policy-making initiatives at national and International level. Mr. </w:t>
      </w:r>
      <w:proofErr w:type="spellStart"/>
      <w:r w:rsidR="00DE791C" w:rsidRPr="00DE791C">
        <w:rPr>
          <w:rFonts w:cs="Nirmala UI"/>
          <w:color w:val="000000"/>
          <w:sz w:val="20"/>
          <w:szCs w:val="20"/>
        </w:rPr>
        <w:t>Aryal</w:t>
      </w:r>
      <w:proofErr w:type="spellEnd"/>
      <w:r w:rsidR="00DE791C" w:rsidRPr="00DE791C">
        <w:rPr>
          <w:rFonts w:cs="Nirmala UI"/>
          <w:color w:val="000000"/>
          <w:sz w:val="20"/>
          <w:szCs w:val="20"/>
        </w:rPr>
        <w:t xml:space="preserve"> was lead researcher for the six Asia Pacific countries to prepare Affordability Index, conducted by Web Foundation for the year 2014 and for 4 countries in 2015. He led various IT law and policy activities some of them includes "Drafting Unified Information Technology Bill-2013" (2013), "Reviewing Information Technology Laws in Nepal" (2013), "Analysis of Nepali Legal System from E-Governance perspective and Drafting E Governance Bill, 2011" and "Information, Education and Communication strategy for Local Government and Community Development Project, 2009". He was Lead Researcher in the research "Use of Criminal Laws to Curb Freedom of Expression Online in Nepal" (2012), and advisor to the research "Mapping Position of Internet and Freedom of Expression in Nepal with reference to UN Special Rapporteur's Report to UN General Assembly" (2012).</w:t>
      </w:r>
    </w:p>
    <w:p w14:paraId="5557E873" w14:textId="4B5E960F" w:rsidR="007321F4" w:rsidRPr="007321F4" w:rsidRDefault="007321F4" w:rsidP="00DE791C">
      <w:pPr>
        <w:spacing w:line="240" w:lineRule="auto"/>
        <w:rPr>
          <w:rFonts w:cs="Arial"/>
          <w:sz w:val="20"/>
          <w:szCs w:val="18"/>
        </w:rPr>
      </w:pPr>
      <w:proofErr w:type="spellStart"/>
      <w:r w:rsidRPr="007321F4">
        <w:rPr>
          <w:rFonts w:cs="Arial"/>
          <w:b/>
          <w:bCs/>
          <w:sz w:val="20"/>
          <w:szCs w:val="18"/>
        </w:rPr>
        <w:t>Manohar</w:t>
      </w:r>
      <w:proofErr w:type="spellEnd"/>
      <w:r w:rsidRPr="007321F4">
        <w:rPr>
          <w:rFonts w:cs="Arial"/>
          <w:b/>
          <w:bCs/>
          <w:sz w:val="20"/>
          <w:szCs w:val="18"/>
        </w:rPr>
        <w:t xml:space="preserve"> Kumar </w:t>
      </w:r>
      <w:proofErr w:type="spellStart"/>
      <w:r w:rsidRPr="007321F4">
        <w:rPr>
          <w:rFonts w:cs="Arial"/>
          <w:b/>
          <w:bCs/>
          <w:sz w:val="20"/>
          <w:szCs w:val="18"/>
        </w:rPr>
        <w:t>Bhattarai</w:t>
      </w:r>
      <w:proofErr w:type="spellEnd"/>
      <w:r w:rsidRPr="007321F4">
        <w:rPr>
          <w:rFonts w:cs="Arial"/>
          <w:sz w:val="20"/>
          <w:szCs w:val="18"/>
        </w:rPr>
        <w:t xml:space="preserve"> is former Vice Chair, High Level Commission for Information Technology, Government of Nepal.  Mr. </w:t>
      </w:r>
      <w:proofErr w:type="spellStart"/>
      <w:r w:rsidRPr="007321F4">
        <w:rPr>
          <w:rFonts w:cs="Arial"/>
          <w:sz w:val="20"/>
          <w:szCs w:val="18"/>
        </w:rPr>
        <w:t>Bhattarai’s</w:t>
      </w:r>
      <w:proofErr w:type="spellEnd"/>
      <w:r w:rsidRPr="007321F4">
        <w:rPr>
          <w:rFonts w:cs="Arial"/>
          <w:sz w:val="20"/>
          <w:szCs w:val="18"/>
        </w:rPr>
        <w:t xml:space="preserve"> involvement in the Information and Communication Technology sector spans nearly three decades encompassing varying responsibilities in various functional and leadership roles.  Mr. </w:t>
      </w:r>
      <w:proofErr w:type="spellStart"/>
      <w:r w:rsidRPr="007321F4">
        <w:rPr>
          <w:rFonts w:cs="Arial"/>
          <w:sz w:val="20"/>
          <w:szCs w:val="18"/>
        </w:rPr>
        <w:t>Bhattarai</w:t>
      </w:r>
      <w:proofErr w:type="spellEnd"/>
      <w:r w:rsidRPr="007321F4">
        <w:rPr>
          <w:rFonts w:cs="Arial"/>
          <w:sz w:val="20"/>
          <w:szCs w:val="18"/>
        </w:rPr>
        <w:t xml:space="preserve"> led the drafting of the Broadband Policy recently approved by Nepal Telecommunication Authority and due for final approval from the </w:t>
      </w:r>
      <w:r w:rsidRPr="007321F4">
        <w:rPr>
          <w:rFonts w:cs="Arial"/>
          <w:sz w:val="20"/>
          <w:szCs w:val="18"/>
        </w:rPr>
        <w:lastRenderedPageBreak/>
        <w:t xml:space="preserve">government.  Mr. </w:t>
      </w:r>
      <w:proofErr w:type="spellStart"/>
      <w:r w:rsidRPr="007321F4">
        <w:rPr>
          <w:rFonts w:cs="Arial"/>
          <w:sz w:val="20"/>
          <w:szCs w:val="18"/>
        </w:rPr>
        <w:t>Bhattarai</w:t>
      </w:r>
      <w:proofErr w:type="spellEnd"/>
      <w:r w:rsidRPr="007321F4">
        <w:rPr>
          <w:rFonts w:cs="Arial"/>
          <w:sz w:val="20"/>
          <w:szCs w:val="18"/>
        </w:rPr>
        <w:t xml:space="preserve"> also played a lead role in drafting Nepal’s first IT Policy in the year 2000 as part of a team formed by National Planning Commission.  Mr. </w:t>
      </w:r>
      <w:proofErr w:type="spellStart"/>
      <w:r w:rsidRPr="007321F4">
        <w:rPr>
          <w:rFonts w:cs="Arial"/>
          <w:sz w:val="20"/>
          <w:szCs w:val="18"/>
        </w:rPr>
        <w:t>Bhattarai</w:t>
      </w:r>
      <w:proofErr w:type="spellEnd"/>
      <w:r w:rsidRPr="007321F4">
        <w:rPr>
          <w:rFonts w:cs="Arial"/>
          <w:sz w:val="20"/>
          <w:szCs w:val="18"/>
        </w:rPr>
        <w:t xml:space="preserve"> is credited with the initiative to usher in the concept of rural </w:t>
      </w:r>
      <w:proofErr w:type="spellStart"/>
      <w:r w:rsidRPr="007321F4">
        <w:rPr>
          <w:rFonts w:cs="Arial"/>
          <w:sz w:val="20"/>
          <w:szCs w:val="18"/>
        </w:rPr>
        <w:t>telecentres</w:t>
      </w:r>
      <w:proofErr w:type="spellEnd"/>
      <w:r w:rsidRPr="007321F4">
        <w:rPr>
          <w:rFonts w:cs="Arial"/>
          <w:sz w:val="20"/>
          <w:szCs w:val="18"/>
        </w:rPr>
        <w:t xml:space="preserve"> in Nepal as a means of bridging digital divide and expanding community access to Information and Communications Technologies.  Mr. </w:t>
      </w:r>
      <w:proofErr w:type="spellStart"/>
      <w:r w:rsidRPr="007321F4">
        <w:rPr>
          <w:rFonts w:cs="Arial"/>
          <w:sz w:val="20"/>
          <w:szCs w:val="18"/>
        </w:rPr>
        <w:t>Bhattarai</w:t>
      </w:r>
      <w:proofErr w:type="spellEnd"/>
      <w:r w:rsidRPr="007321F4">
        <w:rPr>
          <w:rFonts w:cs="Arial"/>
          <w:sz w:val="20"/>
          <w:szCs w:val="18"/>
        </w:rPr>
        <w:t xml:space="preserve"> has also been instrumental in preparing revised IT Policy of the Government of Nepal which has since been announced, as well as drafting 3-year integrated action plan (IAP) for the development of ICT sector in Nepal.  In addition, he also played a key, leadership role in formulating e-Government project which has since culminated in a comprehensive </w:t>
      </w:r>
      <w:proofErr w:type="spellStart"/>
      <w:r w:rsidRPr="007321F4">
        <w:rPr>
          <w:rFonts w:cs="Arial"/>
          <w:sz w:val="20"/>
          <w:szCs w:val="18"/>
        </w:rPr>
        <w:t>eGovernment</w:t>
      </w:r>
      <w:proofErr w:type="spellEnd"/>
      <w:r w:rsidRPr="007321F4">
        <w:rPr>
          <w:rFonts w:cs="Arial"/>
          <w:sz w:val="20"/>
          <w:szCs w:val="18"/>
        </w:rPr>
        <w:t xml:space="preserve"> project being executed by Government of Nepal.  Mr. </w:t>
      </w:r>
      <w:proofErr w:type="spellStart"/>
      <w:r w:rsidRPr="007321F4">
        <w:rPr>
          <w:rFonts w:cs="Arial"/>
          <w:sz w:val="20"/>
          <w:szCs w:val="18"/>
        </w:rPr>
        <w:t>Bhattarai</w:t>
      </w:r>
      <w:proofErr w:type="spellEnd"/>
      <w:r w:rsidRPr="007321F4">
        <w:rPr>
          <w:rFonts w:cs="Arial"/>
          <w:sz w:val="20"/>
          <w:szCs w:val="18"/>
        </w:rPr>
        <w:t xml:space="preserve"> is also credited with the achievement of having provided leadership on delivering on one of the key, foundational components of </w:t>
      </w:r>
      <w:proofErr w:type="spellStart"/>
      <w:r w:rsidRPr="007321F4">
        <w:rPr>
          <w:rFonts w:cs="Arial"/>
          <w:sz w:val="20"/>
          <w:szCs w:val="18"/>
        </w:rPr>
        <w:t>eGovernment</w:t>
      </w:r>
      <w:proofErr w:type="spellEnd"/>
      <w:r w:rsidRPr="007321F4">
        <w:rPr>
          <w:rFonts w:cs="Arial"/>
          <w:sz w:val="20"/>
          <w:szCs w:val="18"/>
        </w:rPr>
        <w:t xml:space="preserve"> initiative namely the development of Government Enterprise Architecture/ Government interoperability framework.</w:t>
      </w:r>
    </w:p>
    <w:p w14:paraId="22BCB713" w14:textId="160954B6" w:rsidR="00971BE6" w:rsidRPr="00971BE6" w:rsidRDefault="00971BE6" w:rsidP="00971BE6">
      <w:pPr>
        <w:spacing w:line="240" w:lineRule="auto"/>
        <w:rPr>
          <w:rFonts w:cstheme="minorHAnsi"/>
          <w:color w:val="000000"/>
          <w:sz w:val="20"/>
          <w:szCs w:val="20"/>
        </w:rPr>
      </w:pPr>
      <w:proofErr w:type="spellStart"/>
      <w:r w:rsidRPr="00971BE6">
        <w:rPr>
          <w:rFonts w:cstheme="minorHAnsi"/>
          <w:b/>
          <w:bCs/>
          <w:color w:val="000000"/>
          <w:sz w:val="20"/>
          <w:szCs w:val="20"/>
        </w:rPr>
        <w:t>Kuber</w:t>
      </w:r>
      <w:proofErr w:type="spellEnd"/>
      <w:r w:rsidRPr="00971BE6">
        <w:rPr>
          <w:rFonts w:cstheme="minorHAnsi"/>
          <w:b/>
          <w:bCs/>
          <w:color w:val="000000"/>
          <w:sz w:val="20"/>
          <w:szCs w:val="20"/>
        </w:rPr>
        <w:t xml:space="preserve"> </w:t>
      </w:r>
      <w:proofErr w:type="spellStart"/>
      <w:r w:rsidRPr="00971BE6">
        <w:rPr>
          <w:rFonts w:cstheme="minorHAnsi"/>
          <w:b/>
          <w:bCs/>
          <w:color w:val="000000"/>
          <w:sz w:val="20"/>
          <w:szCs w:val="20"/>
        </w:rPr>
        <w:t>Chalishe</w:t>
      </w:r>
      <w:proofErr w:type="spellEnd"/>
      <w:r>
        <w:rPr>
          <w:rFonts w:cstheme="minorHAnsi"/>
          <w:color w:val="000000"/>
          <w:sz w:val="20"/>
          <w:szCs w:val="20"/>
        </w:rPr>
        <w:t xml:space="preserve"> is </w:t>
      </w:r>
      <w:r w:rsidRPr="00971BE6">
        <w:rPr>
          <w:rFonts w:cstheme="minorHAnsi"/>
          <w:color w:val="000000"/>
          <w:sz w:val="20"/>
          <w:szCs w:val="20"/>
        </w:rPr>
        <w:t xml:space="preserve">Editor, </w:t>
      </w:r>
      <w:proofErr w:type="spellStart"/>
      <w:r w:rsidRPr="00971BE6">
        <w:rPr>
          <w:rFonts w:cstheme="minorHAnsi"/>
          <w:color w:val="000000"/>
          <w:sz w:val="20"/>
          <w:szCs w:val="20"/>
        </w:rPr>
        <w:t>Karobar</w:t>
      </w:r>
      <w:proofErr w:type="spellEnd"/>
      <w:r w:rsidRPr="00971BE6">
        <w:rPr>
          <w:rFonts w:cstheme="minorHAnsi"/>
          <w:color w:val="000000"/>
          <w:sz w:val="20"/>
          <w:szCs w:val="20"/>
        </w:rPr>
        <w:t xml:space="preserve"> Daily. </w:t>
      </w:r>
      <w:r>
        <w:rPr>
          <w:rFonts w:cstheme="minorHAnsi"/>
          <w:color w:val="000000"/>
          <w:sz w:val="20"/>
          <w:szCs w:val="20"/>
        </w:rPr>
        <w:t>His email is kuber25@gmail.com.</w:t>
      </w:r>
    </w:p>
    <w:p w14:paraId="45EF2E34" w14:textId="2ED95824" w:rsidR="00CC12E7" w:rsidRDefault="00EF431C" w:rsidP="00CF7D28">
      <w:pPr>
        <w:rPr>
          <w:rFonts w:cstheme="minorHAnsi"/>
          <w:sz w:val="20"/>
          <w:szCs w:val="20"/>
        </w:rPr>
      </w:pPr>
      <w:proofErr w:type="spellStart"/>
      <w:r w:rsidRPr="000F697B">
        <w:rPr>
          <w:b/>
          <w:sz w:val="20"/>
          <w:szCs w:val="20"/>
        </w:rPr>
        <w:t>Vigneswara</w:t>
      </w:r>
      <w:proofErr w:type="spellEnd"/>
      <w:r w:rsidR="002A1289" w:rsidRPr="000F697B">
        <w:rPr>
          <w:b/>
          <w:sz w:val="20"/>
          <w:szCs w:val="20"/>
        </w:rPr>
        <w:t xml:space="preserve"> </w:t>
      </w:r>
      <w:proofErr w:type="spellStart"/>
      <w:r w:rsidR="002A1289" w:rsidRPr="000F697B">
        <w:rPr>
          <w:b/>
          <w:sz w:val="20"/>
          <w:szCs w:val="20"/>
        </w:rPr>
        <w:t>I</w:t>
      </w:r>
      <w:r w:rsidR="00CC12E7" w:rsidRPr="000F697B">
        <w:rPr>
          <w:b/>
          <w:sz w:val="20"/>
          <w:szCs w:val="20"/>
        </w:rPr>
        <w:t>lavarasan</w:t>
      </w:r>
      <w:proofErr w:type="spellEnd"/>
      <w:r w:rsidR="00CC12E7" w:rsidRPr="000F697B">
        <w:rPr>
          <w:b/>
          <w:sz w:val="20"/>
          <w:szCs w:val="20"/>
        </w:rPr>
        <w:t>, PhD</w:t>
      </w:r>
      <w:r w:rsidR="00CC12E7" w:rsidRPr="000F697B">
        <w:rPr>
          <w:rFonts w:cstheme="minorHAnsi"/>
          <w:sz w:val="20"/>
          <w:szCs w:val="20"/>
        </w:rPr>
        <w:t xml:space="preserve"> is A</w:t>
      </w:r>
      <w:r w:rsidR="00091FE4">
        <w:rPr>
          <w:rFonts w:cstheme="minorHAnsi"/>
          <w:sz w:val="20"/>
          <w:szCs w:val="20"/>
        </w:rPr>
        <w:t xml:space="preserve">ssociate Professor at the Department </w:t>
      </w:r>
      <w:r w:rsidR="00CC12E7" w:rsidRPr="000F697B">
        <w:rPr>
          <w:rFonts w:cstheme="minorHAnsi"/>
          <w:sz w:val="20"/>
          <w:szCs w:val="20"/>
        </w:rPr>
        <w:t>of Management Studies, Indian Institute of Technology Delhi. For the last ten years, he is researching and teaching production and consumption of information and communication technologies (ICTs) with a special focus on India. His specific research interests are Information and Communication Technologies &amp; Development (ICTD) [Use of Mobiles &amp; other ICTs by women micro</w:t>
      </w:r>
      <w:r w:rsidR="00CF7D28" w:rsidRPr="000F697B">
        <w:rPr>
          <w:rFonts w:cstheme="minorHAnsi"/>
          <w:sz w:val="20"/>
          <w:szCs w:val="20"/>
        </w:rPr>
        <w:t>-</w:t>
      </w:r>
      <w:r w:rsidR="00CC12E7" w:rsidRPr="000F697B">
        <w:rPr>
          <w:rFonts w:cstheme="minorHAnsi"/>
          <w:sz w:val="20"/>
          <w:szCs w:val="20"/>
        </w:rPr>
        <w:t>entrepreneurs in India]; Information Technology Industry in India [</w:t>
      </w:r>
      <w:proofErr w:type="spellStart"/>
      <w:r w:rsidR="00CC12E7" w:rsidRPr="000F697B">
        <w:rPr>
          <w:rFonts w:cstheme="minorHAnsi"/>
          <w:sz w:val="20"/>
          <w:szCs w:val="20"/>
        </w:rPr>
        <w:t>Labour</w:t>
      </w:r>
      <w:proofErr w:type="spellEnd"/>
      <w:r w:rsidR="00CC12E7" w:rsidRPr="000F697B">
        <w:rPr>
          <w:rFonts w:cstheme="minorHAnsi"/>
          <w:sz w:val="20"/>
          <w:szCs w:val="20"/>
        </w:rPr>
        <w:t xml:space="preserve">, R&amp;D Centers of MNCs, Inter-firm linkages, Clusters &amp; Sub-national Policy]; and ICTs &amp; Government [Electronic Governance]. Dr. </w:t>
      </w:r>
      <w:proofErr w:type="spellStart"/>
      <w:r w:rsidR="00CC12E7" w:rsidRPr="000F697B">
        <w:rPr>
          <w:rFonts w:cstheme="minorHAnsi"/>
          <w:sz w:val="20"/>
          <w:szCs w:val="20"/>
        </w:rPr>
        <w:t>Ilavarasan</w:t>
      </w:r>
      <w:proofErr w:type="spellEnd"/>
      <w:r w:rsidR="00CC12E7" w:rsidRPr="000F697B">
        <w:rPr>
          <w:rFonts w:cstheme="minorHAnsi"/>
          <w:sz w:val="20"/>
          <w:szCs w:val="20"/>
        </w:rPr>
        <w:t xml:space="preserve"> is a recipient of the Outstanding Young Faculty Fellowship Award at IIT Delhi and Prof. M.N. </w:t>
      </w:r>
      <w:proofErr w:type="spellStart"/>
      <w:r w:rsidR="00CC12E7" w:rsidRPr="000F697B">
        <w:rPr>
          <w:rFonts w:cstheme="minorHAnsi"/>
          <w:sz w:val="20"/>
          <w:szCs w:val="20"/>
        </w:rPr>
        <w:t>Srinivas</w:t>
      </w:r>
      <w:proofErr w:type="spellEnd"/>
      <w:r w:rsidR="00CC12E7" w:rsidRPr="000F697B">
        <w:rPr>
          <w:rFonts w:cstheme="minorHAnsi"/>
          <w:sz w:val="20"/>
          <w:szCs w:val="20"/>
        </w:rPr>
        <w:t xml:space="preserve"> Memorial Prize of the Indian Sociological Society. He is also</w:t>
      </w:r>
      <w:r w:rsidR="00C71D0F" w:rsidRPr="000F697B">
        <w:rPr>
          <w:rFonts w:cstheme="minorHAnsi"/>
          <w:sz w:val="20"/>
          <w:szCs w:val="20"/>
        </w:rPr>
        <w:t xml:space="preserve"> a</w:t>
      </w:r>
      <w:r w:rsidR="00CC12E7" w:rsidRPr="000F697B">
        <w:rPr>
          <w:rFonts w:cstheme="minorHAnsi"/>
          <w:sz w:val="20"/>
          <w:szCs w:val="20"/>
        </w:rPr>
        <w:t xml:space="preserve"> recipi</w:t>
      </w:r>
      <w:r w:rsidR="00E95F3D" w:rsidRPr="000F697B">
        <w:rPr>
          <w:rFonts w:cstheme="minorHAnsi"/>
          <w:sz w:val="20"/>
          <w:szCs w:val="20"/>
        </w:rPr>
        <w:t>ent of research grants from</w:t>
      </w:r>
      <w:r w:rsidR="00CC12E7" w:rsidRPr="000F697B">
        <w:rPr>
          <w:rFonts w:cstheme="minorHAnsi"/>
          <w:sz w:val="20"/>
          <w:szCs w:val="20"/>
        </w:rPr>
        <w:t xml:space="preserve"> IDRC (Canada), Ministry of </w:t>
      </w:r>
      <w:proofErr w:type="spellStart"/>
      <w:r w:rsidR="00CC12E7" w:rsidRPr="000F697B">
        <w:rPr>
          <w:rFonts w:cstheme="minorHAnsi"/>
          <w:sz w:val="20"/>
          <w:szCs w:val="20"/>
        </w:rPr>
        <w:t>Labour</w:t>
      </w:r>
      <w:proofErr w:type="spellEnd"/>
      <w:r w:rsidR="00CC12E7" w:rsidRPr="000F697B">
        <w:rPr>
          <w:rFonts w:cstheme="minorHAnsi"/>
          <w:sz w:val="20"/>
          <w:szCs w:val="20"/>
        </w:rPr>
        <w:t xml:space="preserve"> and Employment (India), Ministry of Science and Technology (India), Oxford </w:t>
      </w:r>
      <w:proofErr w:type="spellStart"/>
      <w:r w:rsidR="00CC12E7" w:rsidRPr="000F697B">
        <w:rPr>
          <w:rFonts w:cstheme="minorHAnsi"/>
          <w:sz w:val="20"/>
          <w:szCs w:val="20"/>
        </w:rPr>
        <w:t>Analytica</w:t>
      </w:r>
      <w:proofErr w:type="spellEnd"/>
      <w:r w:rsidR="00CC12E7" w:rsidRPr="000F697B">
        <w:rPr>
          <w:rFonts w:cstheme="minorHAnsi"/>
          <w:sz w:val="20"/>
          <w:szCs w:val="20"/>
        </w:rPr>
        <w:t xml:space="preserve"> (UK), and </w:t>
      </w:r>
      <w:proofErr w:type="spellStart"/>
      <w:r w:rsidR="00CC12E7" w:rsidRPr="000F697B">
        <w:rPr>
          <w:rFonts w:cstheme="minorHAnsi"/>
          <w:sz w:val="20"/>
          <w:szCs w:val="20"/>
        </w:rPr>
        <w:t>IdeaCorp</w:t>
      </w:r>
      <w:proofErr w:type="spellEnd"/>
      <w:r w:rsidR="00CC12E7" w:rsidRPr="000F697B">
        <w:rPr>
          <w:rFonts w:cstheme="minorHAnsi"/>
          <w:sz w:val="20"/>
          <w:szCs w:val="20"/>
        </w:rPr>
        <w:t>. (Philippines).</w:t>
      </w:r>
    </w:p>
    <w:p w14:paraId="5EE647FB" w14:textId="5215F329" w:rsidR="006D448D" w:rsidRPr="006D448D" w:rsidRDefault="00111D1D" w:rsidP="006D448D">
      <w:pPr>
        <w:rPr>
          <w:rFonts w:cstheme="minorHAnsi"/>
          <w:sz w:val="20"/>
          <w:szCs w:val="20"/>
        </w:rPr>
      </w:pPr>
      <w:proofErr w:type="spellStart"/>
      <w:r w:rsidRPr="00111D1D">
        <w:rPr>
          <w:rFonts w:cstheme="minorHAnsi"/>
          <w:b/>
          <w:bCs/>
          <w:sz w:val="20"/>
          <w:szCs w:val="20"/>
        </w:rPr>
        <w:t>Ananda</w:t>
      </w:r>
      <w:proofErr w:type="spellEnd"/>
      <w:r w:rsidRPr="00111D1D">
        <w:rPr>
          <w:rFonts w:cstheme="minorHAnsi"/>
          <w:b/>
          <w:bCs/>
          <w:sz w:val="20"/>
          <w:szCs w:val="20"/>
        </w:rPr>
        <w:t xml:space="preserve"> Raj </w:t>
      </w:r>
      <w:proofErr w:type="spellStart"/>
      <w:r w:rsidRPr="00111D1D">
        <w:rPr>
          <w:rFonts w:cstheme="minorHAnsi"/>
          <w:b/>
          <w:bCs/>
          <w:sz w:val="20"/>
          <w:szCs w:val="20"/>
        </w:rPr>
        <w:t>Khanal</w:t>
      </w:r>
      <w:proofErr w:type="spellEnd"/>
      <w:r w:rsidR="006D448D">
        <w:rPr>
          <w:rFonts w:cstheme="minorHAnsi"/>
          <w:sz w:val="20"/>
          <w:szCs w:val="20"/>
        </w:rPr>
        <w:t xml:space="preserve"> is </w:t>
      </w:r>
      <w:r w:rsidR="006D448D" w:rsidRPr="006D448D">
        <w:rPr>
          <w:rFonts w:cstheme="minorHAnsi"/>
          <w:sz w:val="20"/>
          <w:szCs w:val="20"/>
        </w:rPr>
        <w:t>Director at Nepal</w:t>
      </w:r>
      <w:r w:rsidR="006D448D">
        <w:rPr>
          <w:rFonts w:cstheme="minorHAnsi"/>
          <w:sz w:val="20"/>
          <w:szCs w:val="20"/>
        </w:rPr>
        <w:t xml:space="preserve"> </w:t>
      </w:r>
      <w:r w:rsidR="006D448D" w:rsidRPr="006D448D">
        <w:rPr>
          <w:rFonts w:cstheme="minorHAnsi"/>
          <w:sz w:val="20"/>
          <w:szCs w:val="20"/>
        </w:rPr>
        <w:t xml:space="preserve">Telecommunications Authority. </w:t>
      </w:r>
      <w:r w:rsidR="006D448D">
        <w:rPr>
          <w:rFonts w:cstheme="minorHAnsi"/>
          <w:sz w:val="20"/>
          <w:szCs w:val="20"/>
        </w:rPr>
        <w:t xml:space="preserve"> </w:t>
      </w:r>
      <w:r w:rsidR="006D448D" w:rsidRPr="006D448D">
        <w:rPr>
          <w:rFonts w:cstheme="minorHAnsi"/>
          <w:sz w:val="20"/>
          <w:szCs w:val="20"/>
        </w:rPr>
        <w:t>Before joining</w:t>
      </w:r>
      <w:r w:rsidR="006D448D">
        <w:rPr>
          <w:rFonts w:cstheme="minorHAnsi"/>
          <w:sz w:val="20"/>
          <w:szCs w:val="20"/>
        </w:rPr>
        <w:t xml:space="preserve"> </w:t>
      </w:r>
      <w:r w:rsidR="006D448D" w:rsidRPr="006D448D">
        <w:rPr>
          <w:rFonts w:cstheme="minorHAnsi"/>
          <w:sz w:val="20"/>
          <w:szCs w:val="20"/>
        </w:rPr>
        <w:t>NTA in April 2006, he was with the Department of Electrical</w:t>
      </w:r>
      <w:r w:rsidR="006D448D">
        <w:rPr>
          <w:rFonts w:cstheme="minorHAnsi"/>
          <w:sz w:val="20"/>
          <w:szCs w:val="20"/>
        </w:rPr>
        <w:t xml:space="preserve"> </w:t>
      </w:r>
      <w:r w:rsidR="006D448D" w:rsidRPr="006D448D">
        <w:rPr>
          <w:rFonts w:cstheme="minorHAnsi"/>
          <w:sz w:val="20"/>
          <w:szCs w:val="20"/>
        </w:rPr>
        <w:t>and Electronics Engineering at Kathmandu University in</w:t>
      </w:r>
      <w:r w:rsidR="006D448D">
        <w:rPr>
          <w:rFonts w:cstheme="minorHAnsi"/>
          <w:sz w:val="20"/>
          <w:szCs w:val="20"/>
        </w:rPr>
        <w:t xml:space="preserve"> </w:t>
      </w:r>
      <w:r w:rsidR="006D448D" w:rsidRPr="006D448D">
        <w:rPr>
          <w:rFonts w:cstheme="minorHAnsi"/>
          <w:sz w:val="20"/>
          <w:szCs w:val="20"/>
        </w:rPr>
        <w:t>Nepal in the capacity of Assistant Professor and Department</w:t>
      </w:r>
      <w:r w:rsidR="006D448D">
        <w:rPr>
          <w:rFonts w:cstheme="minorHAnsi"/>
          <w:sz w:val="20"/>
          <w:szCs w:val="20"/>
        </w:rPr>
        <w:t xml:space="preserve"> </w:t>
      </w:r>
      <w:r w:rsidR="006D448D" w:rsidRPr="006D448D">
        <w:rPr>
          <w:rFonts w:cstheme="minorHAnsi"/>
          <w:sz w:val="20"/>
          <w:szCs w:val="20"/>
        </w:rPr>
        <w:t>In-Charge. He continues to be a visiting faculty at different universities in Nepal and</w:t>
      </w:r>
      <w:r w:rsidR="006D448D">
        <w:rPr>
          <w:rFonts w:cstheme="minorHAnsi"/>
          <w:sz w:val="20"/>
          <w:szCs w:val="20"/>
        </w:rPr>
        <w:t xml:space="preserve"> </w:t>
      </w:r>
      <w:r w:rsidR="006D448D" w:rsidRPr="006D448D">
        <w:rPr>
          <w:rFonts w:cstheme="minorHAnsi"/>
          <w:sz w:val="20"/>
          <w:szCs w:val="20"/>
        </w:rPr>
        <w:t>teaches subjects related to Telecommunications and ICTs.</w:t>
      </w:r>
      <w:r w:rsidR="006D448D">
        <w:rPr>
          <w:rFonts w:cstheme="minorHAnsi"/>
          <w:sz w:val="20"/>
          <w:szCs w:val="20"/>
        </w:rPr>
        <w:t xml:space="preserve">  </w:t>
      </w:r>
      <w:r w:rsidR="006D448D" w:rsidRPr="006D448D">
        <w:rPr>
          <w:rFonts w:cstheme="minorHAnsi"/>
          <w:sz w:val="20"/>
          <w:szCs w:val="20"/>
        </w:rPr>
        <w:t>He holds a Bachelor of Engineering degree in Electronics and Communications,</w:t>
      </w:r>
      <w:r w:rsidR="006D448D">
        <w:rPr>
          <w:rFonts w:cstheme="minorHAnsi"/>
          <w:sz w:val="20"/>
          <w:szCs w:val="20"/>
        </w:rPr>
        <w:t xml:space="preserve"> </w:t>
      </w:r>
      <w:r w:rsidR="006D448D" w:rsidRPr="006D448D">
        <w:rPr>
          <w:rFonts w:cstheme="minorHAnsi"/>
          <w:sz w:val="20"/>
          <w:szCs w:val="20"/>
        </w:rPr>
        <w:t>Master of Engineering degree in Optical Communication. He is a gold medalist in</w:t>
      </w:r>
      <w:r w:rsidR="006D448D">
        <w:rPr>
          <w:rFonts w:cstheme="minorHAnsi"/>
          <w:sz w:val="20"/>
          <w:szCs w:val="20"/>
        </w:rPr>
        <w:t xml:space="preserve"> </w:t>
      </w:r>
      <w:r w:rsidR="006D448D" w:rsidRPr="006D448D">
        <w:rPr>
          <w:rFonts w:cstheme="minorHAnsi"/>
          <w:sz w:val="20"/>
          <w:szCs w:val="20"/>
        </w:rPr>
        <w:t>Bachelors of Law (LLB).</w:t>
      </w:r>
      <w:r w:rsidR="006D448D">
        <w:rPr>
          <w:rFonts w:cstheme="minorHAnsi"/>
          <w:sz w:val="20"/>
          <w:szCs w:val="20"/>
        </w:rPr>
        <w:t xml:space="preserve">  </w:t>
      </w:r>
      <w:proofErr w:type="spellStart"/>
      <w:r w:rsidR="006D448D" w:rsidRPr="006D448D">
        <w:rPr>
          <w:rFonts w:cstheme="minorHAnsi"/>
          <w:sz w:val="20"/>
          <w:szCs w:val="20"/>
        </w:rPr>
        <w:t>Mr</w:t>
      </w:r>
      <w:proofErr w:type="spellEnd"/>
      <w:r w:rsidR="006D448D" w:rsidRPr="006D448D">
        <w:rPr>
          <w:rFonts w:cstheme="minorHAnsi"/>
          <w:sz w:val="20"/>
          <w:szCs w:val="20"/>
        </w:rPr>
        <w:t xml:space="preserve"> </w:t>
      </w:r>
      <w:proofErr w:type="spellStart"/>
      <w:r w:rsidR="006D448D" w:rsidRPr="006D448D">
        <w:rPr>
          <w:rFonts w:cstheme="minorHAnsi"/>
          <w:sz w:val="20"/>
          <w:szCs w:val="20"/>
        </w:rPr>
        <w:t>Khanal</w:t>
      </w:r>
      <w:proofErr w:type="spellEnd"/>
      <w:r w:rsidR="006D448D" w:rsidRPr="006D448D">
        <w:rPr>
          <w:rFonts w:cstheme="minorHAnsi"/>
          <w:sz w:val="20"/>
          <w:szCs w:val="20"/>
        </w:rPr>
        <w:t xml:space="preserve"> has taken a number of training courses related to policy, regulation and</w:t>
      </w:r>
      <w:r w:rsidR="006D448D">
        <w:rPr>
          <w:rFonts w:cstheme="minorHAnsi"/>
          <w:sz w:val="20"/>
          <w:szCs w:val="20"/>
        </w:rPr>
        <w:t xml:space="preserve"> </w:t>
      </w:r>
      <w:r w:rsidR="006D448D" w:rsidRPr="006D448D">
        <w:rPr>
          <w:rFonts w:cstheme="minorHAnsi"/>
          <w:sz w:val="20"/>
          <w:szCs w:val="20"/>
        </w:rPr>
        <w:t>management of Telecommunications/ICTs conducted by different international</w:t>
      </w:r>
      <w:r w:rsidR="006D448D">
        <w:rPr>
          <w:rFonts w:cstheme="minorHAnsi"/>
          <w:sz w:val="20"/>
          <w:szCs w:val="20"/>
        </w:rPr>
        <w:t xml:space="preserve"> </w:t>
      </w:r>
      <w:r w:rsidR="006D448D" w:rsidRPr="006D448D">
        <w:rPr>
          <w:rFonts w:cstheme="minorHAnsi"/>
          <w:sz w:val="20"/>
          <w:szCs w:val="20"/>
        </w:rPr>
        <w:t>institutes of repute including ITU, ACMA, PURC, APT, TEMIC, USTTI and other</w:t>
      </w:r>
      <w:r w:rsidR="006D448D">
        <w:rPr>
          <w:rFonts w:cstheme="minorHAnsi"/>
          <w:sz w:val="20"/>
          <w:szCs w:val="20"/>
        </w:rPr>
        <w:t xml:space="preserve"> </w:t>
      </w:r>
      <w:r w:rsidR="006D448D" w:rsidRPr="006D448D">
        <w:rPr>
          <w:rFonts w:cstheme="minorHAnsi"/>
          <w:sz w:val="20"/>
          <w:szCs w:val="20"/>
        </w:rPr>
        <w:t>regulatory agencies. He has also participated in a number of seminars, workshops,</w:t>
      </w:r>
      <w:r w:rsidR="006D448D">
        <w:rPr>
          <w:rFonts w:cstheme="minorHAnsi"/>
          <w:sz w:val="20"/>
          <w:szCs w:val="20"/>
        </w:rPr>
        <w:t xml:space="preserve"> </w:t>
      </w:r>
      <w:r w:rsidR="006D448D" w:rsidRPr="006D448D">
        <w:rPr>
          <w:rFonts w:cstheme="minorHAnsi"/>
          <w:sz w:val="20"/>
          <w:szCs w:val="20"/>
        </w:rPr>
        <w:t>meetings, symposia dealing with Telecommunications/ICTs/Broadband.</w:t>
      </w:r>
      <w:r w:rsidR="006D448D">
        <w:rPr>
          <w:rFonts w:cstheme="minorHAnsi"/>
          <w:sz w:val="20"/>
          <w:szCs w:val="20"/>
        </w:rPr>
        <w:t xml:space="preserve">  He is v</w:t>
      </w:r>
      <w:r w:rsidR="006D448D" w:rsidRPr="006D448D">
        <w:rPr>
          <w:rFonts w:cstheme="minorHAnsi"/>
          <w:sz w:val="20"/>
          <w:szCs w:val="20"/>
        </w:rPr>
        <w:t xml:space="preserve">ery active in the ITU plenipotentiary conferences, </w:t>
      </w:r>
      <w:proofErr w:type="gramStart"/>
      <w:r w:rsidR="006D448D" w:rsidRPr="006D448D">
        <w:rPr>
          <w:rFonts w:cstheme="minorHAnsi"/>
          <w:sz w:val="20"/>
          <w:szCs w:val="20"/>
        </w:rPr>
        <w:t>WRCs ,</w:t>
      </w:r>
      <w:proofErr w:type="gramEnd"/>
      <w:r w:rsidR="00971BE6">
        <w:rPr>
          <w:rFonts w:cstheme="minorHAnsi"/>
          <w:sz w:val="20"/>
          <w:szCs w:val="20"/>
        </w:rPr>
        <w:t xml:space="preserve"> </w:t>
      </w:r>
      <w:r w:rsidR="006D448D" w:rsidRPr="006D448D">
        <w:rPr>
          <w:rFonts w:cstheme="minorHAnsi"/>
          <w:sz w:val="20"/>
          <w:szCs w:val="20"/>
        </w:rPr>
        <w:t>WTDCs and ITU-D study</w:t>
      </w:r>
      <w:r w:rsidR="006D448D">
        <w:rPr>
          <w:rFonts w:cstheme="minorHAnsi"/>
          <w:sz w:val="20"/>
          <w:szCs w:val="20"/>
        </w:rPr>
        <w:t xml:space="preserve"> </w:t>
      </w:r>
      <w:r w:rsidR="006D448D" w:rsidRPr="006D448D">
        <w:rPr>
          <w:rFonts w:cstheme="minorHAnsi"/>
          <w:sz w:val="20"/>
          <w:szCs w:val="20"/>
        </w:rPr>
        <w:t>groups, GSRs,</w:t>
      </w:r>
      <w:r w:rsidR="00971BE6">
        <w:rPr>
          <w:rFonts w:cstheme="minorHAnsi"/>
          <w:sz w:val="20"/>
          <w:szCs w:val="20"/>
        </w:rPr>
        <w:t xml:space="preserve"> </w:t>
      </w:r>
      <w:r w:rsidR="006D448D" w:rsidRPr="006D448D">
        <w:rPr>
          <w:rFonts w:cstheme="minorHAnsi"/>
          <w:sz w:val="20"/>
          <w:szCs w:val="20"/>
        </w:rPr>
        <w:t>WSIS and APT and SATRC activitie</w:t>
      </w:r>
      <w:r w:rsidR="006D448D">
        <w:rPr>
          <w:rFonts w:cstheme="minorHAnsi"/>
          <w:sz w:val="20"/>
          <w:szCs w:val="20"/>
        </w:rPr>
        <w:t>s.</w:t>
      </w:r>
    </w:p>
    <w:p w14:paraId="28A42043" w14:textId="77777777" w:rsidR="002769C7" w:rsidRDefault="00284676" w:rsidP="00284676">
      <w:pPr>
        <w:rPr>
          <w:bCs/>
          <w:sz w:val="20"/>
          <w:szCs w:val="20"/>
        </w:rPr>
      </w:pPr>
      <w:proofErr w:type="spellStart"/>
      <w:r w:rsidRPr="00284676">
        <w:rPr>
          <w:b/>
          <w:sz w:val="20"/>
          <w:szCs w:val="20"/>
        </w:rPr>
        <w:t>Nirmita</w:t>
      </w:r>
      <w:proofErr w:type="spellEnd"/>
      <w:r w:rsidRPr="00284676">
        <w:rPr>
          <w:b/>
          <w:sz w:val="20"/>
          <w:szCs w:val="20"/>
        </w:rPr>
        <w:t xml:space="preserve"> </w:t>
      </w:r>
      <w:proofErr w:type="spellStart"/>
      <w:r w:rsidRPr="00284676">
        <w:rPr>
          <w:b/>
          <w:sz w:val="20"/>
          <w:szCs w:val="20"/>
        </w:rPr>
        <w:t>Narasimhan</w:t>
      </w:r>
      <w:proofErr w:type="spellEnd"/>
      <w:r w:rsidRPr="00284676">
        <w:rPr>
          <w:b/>
          <w:sz w:val="20"/>
          <w:szCs w:val="20"/>
        </w:rPr>
        <w:t>, PhD</w:t>
      </w:r>
      <w:r w:rsidRPr="00284676">
        <w:rPr>
          <w:bCs/>
          <w:sz w:val="20"/>
          <w:szCs w:val="20"/>
        </w:rPr>
        <w:t xml:space="preserve"> is a Policy Director with the Centre for Internet and Society, working in the areas of policy research and advocacy related to IP reform and technology access for persons with disabilities. </w:t>
      </w:r>
      <w:r>
        <w:rPr>
          <w:bCs/>
          <w:sz w:val="20"/>
          <w:szCs w:val="20"/>
        </w:rPr>
        <w:t xml:space="preserve"> </w:t>
      </w:r>
      <w:r w:rsidRPr="00284676">
        <w:rPr>
          <w:bCs/>
          <w:sz w:val="20"/>
          <w:szCs w:val="20"/>
        </w:rPr>
        <w:t xml:space="preserve">She is involved in drafting the Indian National Policy for Electronic Accessibility and also works closely with different departments of the Government of India to bring accessibility into their policies and </w:t>
      </w:r>
      <w:proofErr w:type="spellStart"/>
      <w:r w:rsidRPr="00284676">
        <w:rPr>
          <w:bCs/>
          <w:sz w:val="20"/>
          <w:szCs w:val="20"/>
        </w:rPr>
        <w:t>programmes</w:t>
      </w:r>
      <w:proofErr w:type="spellEnd"/>
      <w:r w:rsidRPr="00284676">
        <w:rPr>
          <w:bCs/>
          <w:sz w:val="20"/>
          <w:szCs w:val="20"/>
        </w:rPr>
        <w:t xml:space="preserve">. </w:t>
      </w:r>
      <w:r>
        <w:rPr>
          <w:bCs/>
          <w:sz w:val="20"/>
          <w:szCs w:val="20"/>
        </w:rPr>
        <w:t xml:space="preserve"> </w:t>
      </w:r>
      <w:r w:rsidRPr="00284676">
        <w:rPr>
          <w:bCs/>
          <w:sz w:val="20"/>
          <w:szCs w:val="20"/>
        </w:rPr>
        <w:t xml:space="preserve">She has authored several reports on accessibility which are being used by policymakers worldwide. </w:t>
      </w:r>
      <w:r>
        <w:rPr>
          <w:bCs/>
          <w:sz w:val="20"/>
          <w:szCs w:val="20"/>
        </w:rPr>
        <w:t xml:space="preserve"> </w:t>
      </w:r>
      <w:r w:rsidRPr="00284676">
        <w:rPr>
          <w:bCs/>
          <w:sz w:val="20"/>
          <w:szCs w:val="20"/>
        </w:rPr>
        <w:t xml:space="preserve">She has also presented papers on ICT and Accessibility at international fora like the IGF and has worked closely with G3ict. She has also participated in the World Blind Union Treaty negotiations at WIPO. </w:t>
      </w:r>
      <w:r>
        <w:rPr>
          <w:bCs/>
          <w:sz w:val="20"/>
          <w:szCs w:val="20"/>
        </w:rPr>
        <w:t xml:space="preserve"> </w:t>
      </w:r>
      <w:proofErr w:type="spellStart"/>
      <w:r w:rsidRPr="00284676">
        <w:rPr>
          <w:bCs/>
          <w:sz w:val="20"/>
          <w:szCs w:val="20"/>
        </w:rPr>
        <w:t>Nirmita</w:t>
      </w:r>
      <w:proofErr w:type="spellEnd"/>
      <w:r w:rsidRPr="00284676">
        <w:rPr>
          <w:bCs/>
          <w:sz w:val="20"/>
          <w:szCs w:val="20"/>
        </w:rPr>
        <w:t xml:space="preserve"> has won several awards for her work, one of which was the National Award for Empowerment of Persons with Disabilities, which she received from the President of India in December 2010. Her educational background includes degrees in Law, German and Music.</w:t>
      </w:r>
      <w:r>
        <w:rPr>
          <w:bCs/>
          <w:sz w:val="20"/>
          <w:szCs w:val="20"/>
        </w:rPr>
        <w:t xml:space="preserve">  S</w:t>
      </w:r>
      <w:r w:rsidRPr="00284676">
        <w:rPr>
          <w:bCs/>
          <w:sz w:val="20"/>
          <w:szCs w:val="20"/>
        </w:rPr>
        <w:t xml:space="preserve">he participated as an ITU accessibility expert in ITU- Nepal Telecom Authority workshops on making mobile phones accessible for persons with disabilities and co-authored report making suitable policy recommendations for promoting </w:t>
      </w:r>
      <w:r w:rsidRPr="00284676">
        <w:rPr>
          <w:bCs/>
          <w:sz w:val="20"/>
          <w:szCs w:val="20"/>
        </w:rPr>
        <w:lastRenderedPageBreak/>
        <w:t xml:space="preserve">accessibility. </w:t>
      </w:r>
      <w:r>
        <w:rPr>
          <w:bCs/>
          <w:sz w:val="20"/>
          <w:szCs w:val="20"/>
        </w:rPr>
        <w:t xml:space="preserve"> </w:t>
      </w:r>
      <w:r w:rsidRPr="00284676">
        <w:rPr>
          <w:bCs/>
          <w:sz w:val="20"/>
          <w:szCs w:val="20"/>
        </w:rPr>
        <w:t>She also prepared research reports in the capacity of ITU accessibility expert, on making mobile phones and services accessible for persons with disabilities in Nepal and Afghanistan.</w:t>
      </w:r>
    </w:p>
    <w:p w14:paraId="5456ABDC" w14:textId="77777777" w:rsidR="00810CA0" w:rsidRDefault="00810CA0" w:rsidP="00810CA0">
      <w:pPr>
        <w:jc w:val="both"/>
        <w:rPr>
          <w:rFonts w:ascii="Trebuchet MS" w:hAnsi="Trebuchet MS"/>
          <w:color w:val="000000"/>
          <w:sz w:val="20"/>
          <w:szCs w:val="20"/>
        </w:rPr>
      </w:pPr>
      <w:r w:rsidRPr="000F697B">
        <w:rPr>
          <w:b/>
          <w:sz w:val="20"/>
          <w:szCs w:val="20"/>
        </w:rPr>
        <w:t>Laleema Senanayake</w:t>
      </w:r>
      <w:r w:rsidR="00284676">
        <w:rPr>
          <w:rFonts w:cstheme="minorHAnsi"/>
          <w:sz w:val="20"/>
          <w:szCs w:val="20"/>
        </w:rPr>
        <w:t xml:space="preserve"> is a</w:t>
      </w:r>
      <w:r w:rsidRPr="000F697B">
        <w:rPr>
          <w:rFonts w:cstheme="minorHAnsi"/>
          <w:sz w:val="20"/>
          <w:szCs w:val="20"/>
        </w:rPr>
        <w:t xml:space="preserve"> Research Manager at </w:t>
      </w:r>
      <w:r w:rsidR="00C71D0F" w:rsidRPr="000F697B">
        <w:rPr>
          <w:rFonts w:cstheme="minorHAnsi"/>
          <w:sz w:val="20"/>
          <w:szCs w:val="20"/>
        </w:rPr>
        <w:t>LIRNE</w:t>
      </w:r>
      <w:r w:rsidR="00C71D0F" w:rsidRPr="000F697B">
        <w:rPr>
          <w:rFonts w:cstheme="minorHAnsi"/>
          <w:i/>
          <w:iCs/>
          <w:sz w:val="20"/>
          <w:szCs w:val="20"/>
        </w:rPr>
        <w:t>asia</w:t>
      </w:r>
      <w:r w:rsidRPr="000F697B">
        <w:rPr>
          <w:rFonts w:cstheme="minorHAnsi"/>
          <w:sz w:val="20"/>
          <w:szCs w:val="20"/>
        </w:rPr>
        <w:t xml:space="preserve"> and is the project manager of the Ford Funded Project on ‘Increasing Broadband access </w:t>
      </w:r>
      <w:r w:rsidR="00BB6078" w:rsidRPr="000F697B">
        <w:rPr>
          <w:rFonts w:cstheme="minorHAnsi"/>
          <w:sz w:val="20"/>
          <w:szCs w:val="20"/>
        </w:rPr>
        <w:t xml:space="preserve">to the poor in Asia’. </w:t>
      </w:r>
      <w:proofErr w:type="spellStart"/>
      <w:r w:rsidR="000C776C" w:rsidRPr="000F697B">
        <w:rPr>
          <w:rFonts w:cstheme="minorHAnsi"/>
          <w:sz w:val="20"/>
          <w:szCs w:val="20"/>
        </w:rPr>
        <w:t>Laleema’s</w:t>
      </w:r>
      <w:proofErr w:type="spellEnd"/>
      <w:r w:rsidR="000C776C" w:rsidRPr="000F697B">
        <w:rPr>
          <w:rFonts w:cstheme="minorHAnsi"/>
          <w:sz w:val="20"/>
          <w:szCs w:val="20"/>
        </w:rPr>
        <w:t xml:space="preserve"> research</w:t>
      </w:r>
      <w:r w:rsidRPr="000F697B">
        <w:rPr>
          <w:rFonts w:cstheme="minorHAnsi"/>
          <w:sz w:val="20"/>
          <w:szCs w:val="20"/>
        </w:rPr>
        <w:t xml:space="preserve"> interests are participatory planning, urban development, cl</w:t>
      </w:r>
      <w:r w:rsidR="00A77A6B" w:rsidRPr="000F697B">
        <w:rPr>
          <w:rFonts w:cstheme="minorHAnsi"/>
          <w:sz w:val="20"/>
          <w:szCs w:val="20"/>
        </w:rPr>
        <w:t xml:space="preserve">imate change and public policy.  </w:t>
      </w:r>
      <w:r w:rsidRPr="000F697B">
        <w:rPr>
          <w:rFonts w:cstheme="minorHAnsi"/>
          <w:sz w:val="20"/>
          <w:szCs w:val="20"/>
        </w:rPr>
        <w:t>Prior to joining LIRNE</w:t>
      </w:r>
      <w:r w:rsidRPr="000F697B">
        <w:rPr>
          <w:rFonts w:cstheme="minorHAnsi"/>
          <w:i/>
          <w:iCs/>
          <w:sz w:val="20"/>
          <w:szCs w:val="20"/>
        </w:rPr>
        <w:t>asia</w:t>
      </w:r>
      <w:r w:rsidR="00A77A6B" w:rsidRPr="000F697B">
        <w:rPr>
          <w:rFonts w:cstheme="minorHAnsi"/>
          <w:sz w:val="20"/>
          <w:szCs w:val="20"/>
        </w:rPr>
        <w:t> she worked at International Water M</w:t>
      </w:r>
      <w:r w:rsidRPr="000F697B">
        <w:rPr>
          <w:rFonts w:cstheme="minorHAnsi"/>
          <w:sz w:val="20"/>
          <w:szCs w:val="20"/>
        </w:rPr>
        <w:t xml:space="preserve">anagement </w:t>
      </w:r>
      <w:r w:rsidR="00A77A6B" w:rsidRPr="000F697B">
        <w:rPr>
          <w:rFonts w:cstheme="minorHAnsi"/>
          <w:sz w:val="20"/>
          <w:szCs w:val="20"/>
        </w:rPr>
        <w:t>I</w:t>
      </w:r>
      <w:r w:rsidRPr="000F697B">
        <w:rPr>
          <w:rFonts w:cstheme="minorHAnsi"/>
          <w:sz w:val="20"/>
          <w:szCs w:val="20"/>
        </w:rPr>
        <w:t>nstitute</w:t>
      </w:r>
      <w:r w:rsidR="000C776C" w:rsidRPr="000F697B">
        <w:rPr>
          <w:rFonts w:cstheme="minorHAnsi"/>
          <w:sz w:val="20"/>
          <w:szCs w:val="20"/>
        </w:rPr>
        <w:t xml:space="preserve"> as an intern</w:t>
      </w:r>
      <w:r w:rsidRPr="000F697B">
        <w:rPr>
          <w:rFonts w:cstheme="minorHAnsi"/>
          <w:sz w:val="20"/>
          <w:szCs w:val="20"/>
        </w:rPr>
        <w:t xml:space="preserve"> and the </w:t>
      </w:r>
      <w:hyperlink r:id="rId9" w:history="1">
        <w:r w:rsidRPr="000F697B">
          <w:rPr>
            <w:rFonts w:cstheme="minorHAnsi"/>
            <w:sz w:val="20"/>
            <w:szCs w:val="20"/>
          </w:rPr>
          <w:t>Project Consultancy Unit</w:t>
        </w:r>
        <w:r w:rsidR="000C776C" w:rsidRPr="000F697B">
          <w:rPr>
            <w:rFonts w:cstheme="minorHAnsi"/>
            <w:sz w:val="20"/>
            <w:szCs w:val="20"/>
          </w:rPr>
          <w:t xml:space="preserve"> (PCU)</w:t>
        </w:r>
        <w:r w:rsidRPr="000F697B">
          <w:rPr>
            <w:rFonts w:cstheme="minorHAnsi"/>
            <w:sz w:val="20"/>
            <w:szCs w:val="20"/>
          </w:rPr>
          <w:t> </w:t>
        </w:r>
      </w:hyperlink>
      <w:r w:rsidRPr="000F697B">
        <w:rPr>
          <w:rFonts w:cstheme="minorHAnsi"/>
          <w:sz w:val="20"/>
          <w:szCs w:val="20"/>
        </w:rPr>
        <w:t xml:space="preserve">of the University of </w:t>
      </w:r>
      <w:proofErr w:type="spellStart"/>
      <w:r w:rsidRPr="000F697B">
        <w:rPr>
          <w:rFonts w:cstheme="minorHAnsi"/>
          <w:sz w:val="20"/>
          <w:szCs w:val="20"/>
        </w:rPr>
        <w:t>Moratuwa</w:t>
      </w:r>
      <w:proofErr w:type="spellEnd"/>
      <w:r w:rsidR="000C776C" w:rsidRPr="000F697B">
        <w:rPr>
          <w:rFonts w:cstheme="minorHAnsi"/>
          <w:sz w:val="20"/>
          <w:szCs w:val="20"/>
        </w:rPr>
        <w:t xml:space="preserve"> as a research assistant</w:t>
      </w:r>
      <w:r w:rsidRPr="000F697B">
        <w:rPr>
          <w:rFonts w:cstheme="minorHAnsi"/>
          <w:sz w:val="20"/>
          <w:szCs w:val="20"/>
        </w:rPr>
        <w:t xml:space="preserve">. She holds a Bachelor of Science degree in </w:t>
      </w:r>
      <w:hyperlink r:id="rId10" w:history="1">
        <w:r w:rsidRPr="000F697B">
          <w:rPr>
            <w:rFonts w:cstheme="minorHAnsi"/>
            <w:sz w:val="20"/>
            <w:szCs w:val="20"/>
          </w:rPr>
          <w:t>Town and Country Planning</w:t>
        </w:r>
      </w:hyperlink>
      <w:r w:rsidRPr="000F697B">
        <w:rPr>
          <w:rFonts w:cstheme="minorHAnsi"/>
          <w:sz w:val="20"/>
          <w:szCs w:val="20"/>
        </w:rPr>
        <w:t> </w:t>
      </w:r>
      <w:r w:rsidR="000C776C" w:rsidRPr="000F697B">
        <w:rPr>
          <w:rFonts w:cstheme="minorHAnsi"/>
          <w:sz w:val="20"/>
          <w:szCs w:val="20"/>
        </w:rPr>
        <w:t xml:space="preserve">from the University of </w:t>
      </w:r>
      <w:proofErr w:type="spellStart"/>
      <w:r w:rsidR="000C776C" w:rsidRPr="000F697B">
        <w:rPr>
          <w:rFonts w:cstheme="minorHAnsi"/>
          <w:sz w:val="20"/>
          <w:szCs w:val="20"/>
        </w:rPr>
        <w:t>Moratuwa</w:t>
      </w:r>
      <w:proofErr w:type="spellEnd"/>
      <w:r w:rsidR="000C776C" w:rsidRPr="000F697B">
        <w:rPr>
          <w:rFonts w:cstheme="minorHAnsi"/>
          <w:sz w:val="20"/>
          <w:szCs w:val="20"/>
        </w:rPr>
        <w:t xml:space="preserve"> </w:t>
      </w:r>
      <w:r w:rsidRPr="000F697B">
        <w:rPr>
          <w:rFonts w:cstheme="minorHAnsi"/>
          <w:sz w:val="20"/>
          <w:szCs w:val="20"/>
        </w:rPr>
        <w:t>and is an Associate member of the Institute of Town Planners Sri Lanka</w:t>
      </w:r>
      <w:r w:rsidRPr="000F697B">
        <w:rPr>
          <w:rFonts w:ascii="Trebuchet MS" w:hAnsi="Trebuchet MS"/>
          <w:color w:val="000000"/>
          <w:sz w:val="20"/>
          <w:szCs w:val="20"/>
        </w:rPr>
        <w:t>.</w:t>
      </w:r>
    </w:p>
    <w:p w14:paraId="41702717" w14:textId="626A71FB" w:rsidR="00111D1D" w:rsidRPr="00ED4BF9" w:rsidRDefault="00111D1D" w:rsidP="00810CA0">
      <w:pPr>
        <w:jc w:val="both"/>
        <w:rPr>
          <w:color w:val="000000"/>
          <w:sz w:val="20"/>
          <w:szCs w:val="20"/>
        </w:rPr>
      </w:pPr>
      <w:r w:rsidRPr="00ED4BF9">
        <w:rPr>
          <w:b/>
          <w:bCs/>
          <w:color w:val="000000"/>
          <w:sz w:val="20"/>
          <w:szCs w:val="20"/>
        </w:rPr>
        <w:t xml:space="preserve">Santosh </w:t>
      </w:r>
      <w:proofErr w:type="spellStart"/>
      <w:r w:rsidRPr="00ED4BF9">
        <w:rPr>
          <w:b/>
          <w:bCs/>
          <w:color w:val="000000"/>
          <w:sz w:val="20"/>
          <w:szCs w:val="20"/>
        </w:rPr>
        <w:t>Sigdel</w:t>
      </w:r>
      <w:proofErr w:type="spellEnd"/>
      <w:r w:rsidR="00DE791C" w:rsidRPr="00DE791C">
        <w:rPr>
          <w:color w:val="000000"/>
          <w:sz w:val="20"/>
          <w:szCs w:val="20"/>
        </w:rPr>
        <w:t xml:space="preserve"> is a Sr. Vice President at Internet Society Nepal. He is a lawyer and human rights professional mainly involved in information technology law and human rights. He has worked with a number of international and national organization including the Article19, International Center for Transitional Justice (ICTJ), CARE Nepal, Freedom Forum in last decade on different human rights issues. He has also involved in a number of research and studies relating to freedom of expression. He also led a study on "Freedom of Expression on the Internet in Nepal: Mapping the Internet Environment in Nepal Using Recommendations by the United Nations Special Rapporteur on the Promotion and Protection of the Right to Freedom of Opinion and Expression". Mr. </w:t>
      </w:r>
      <w:proofErr w:type="spellStart"/>
      <w:r w:rsidR="00DE791C" w:rsidRPr="00DE791C">
        <w:rPr>
          <w:color w:val="000000"/>
          <w:sz w:val="20"/>
          <w:szCs w:val="20"/>
        </w:rPr>
        <w:t>Sigdel</w:t>
      </w:r>
      <w:proofErr w:type="spellEnd"/>
      <w:r w:rsidR="00DE791C" w:rsidRPr="00DE791C">
        <w:rPr>
          <w:color w:val="000000"/>
          <w:sz w:val="20"/>
          <w:szCs w:val="20"/>
        </w:rPr>
        <w:t xml:space="preserve"> is also a member of International Media Lawyers Association (IMLA). He has published a number of articles and booklets on Freedom of expression and Right to Information. Mr. </w:t>
      </w:r>
      <w:proofErr w:type="spellStart"/>
      <w:r w:rsidR="00DE791C" w:rsidRPr="00DE791C">
        <w:rPr>
          <w:color w:val="000000"/>
          <w:sz w:val="20"/>
          <w:szCs w:val="20"/>
        </w:rPr>
        <w:t>Sigdel</w:t>
      </w:r>
      <w:proofErr w:type="spellEnd"/>
      <w:r w:rsidR="00DE791C" w:rsidRPr="00DE791C">
        <w:rPr>
          <w:color w:val="000000"/>
          <w:sz w:val="20"/>
          <w:szCs w:val="20"/>
        </w:rPr>
        <w:t xml:space="preserve"> can be reached at </w:t>
      </w:r>
      <w:r w:rsidR="00CD2715">
        <w:fldChar w:fldCharType="begin"/>
      </w:r>
      <w:r w:rsidR="00CD2715">
        <w:instrText xml:space="preserve"> HYPERLINK "mailto:santoshsigdel@gmail.com" \t "_blank" </w:instrText>
      </w:r>
      <w:r w:rsidR="00CD2715">
        <w:fldChar w:fldCharType="separate"/>
      </w:r>
      <w:r w:rsidR="00DE791C" w:rsidRPr="00DE791C">
        <w:rPr>
          <w:rStyle w:val="Hyperlink"/>
          <w:sz w:val="20"/>
          <w:szCs w:val="20"/>
        </w:rPr>
        <w:t>santoshsigdel@gmail.com</w:t>
      </w:r>
      <w:r w:rsidR="00CD2715">
        <w:rPr>
          <w:rStyle w:val="Hyperlink"/>
          <w:sz w:val="20"/>
          <w:szCs w:val="20"/>
        </w:rPr>
        <w:fldChar w:fldCharType="end"/>
      </w:r>
      <w:r w:rsidR="00DE791C" w:rsidRPr="00DE791C">
        <w:rPr>
          <w:color w:val="000000"/>
          <w:sz w:val="20"/>
          <w:szCs w:val="20"/>
        </w:rPr>
        <w:t> or at </w:t>
      </w:r>
      <w:r w:rsidR="00CD2715">
        <w:fldChar w:fldCharType="begin"/>
      </w:r>
      <w:r w:rsidR="00CD2715">
        <w:instrText xml:space="preserve"> HYPERLINK "tel:985-1096745" \t "_blank" </w:instrText>
      </w:r>
      <w:r w:rsidR="00CD2715">
        <w:fldChar w:fldCharType="separate"/>
      </w:r>
      <w:r w:rsidR="00DE791C" w:rsidRPr="00DE791C">
        <w:rPr>
          <w:rStyle w:val="Hyperlink"/>
          <w:sz w:val="20"/>
          <w:szCs w:val="20"/>
        </w:rPr>
        <w:t>9851096745</w:t>
      </w:r>
      <w:r w:rsidR="00CD2715">
        <w:rPr>
          <w:rStyle w:val="Hyperlink"/>
          <w:sz w:val="20"/>
          <w:szCs w:val="20"/>
        </w:rPr>
        <w:fldChar w:fldCharType="end"/>
      </w:r>
      <w:r w:rsidR="00DE791C" w:rsidRPr="00DE791C">
        <w:rPr>
          <w:color w:val="000000"/>
          <w:sz w:val="20"/>
          <w:szCs w:val="20"/>
        </w:rPr>
        <w:t>. </w:t>
      </w:r>
      <w:r w:rsidRPr="00ED4BF9">
        <w:rPr>
          <w:color w:val="000000"/>
          <w:sz w:val="20"/>
          <w:szCs w:val="20"/>
        </w:rPr>
        <w:t xml:space="preserve"> </w:t>
      </w:r>
    </w:p>
    <w:p w14:paraId="2F392E7C" w14:textId="7A070ED6" w:rsidR="008A470F" w:rsidRPr="000F697B" w:rsidRDefault="008A470F" w:rsidP="00810CA0">
      <w:pPr>
        <w:jc w:val="both"/>
        <w:rPr>
          <w:rFonts w:ascii="Trebuchet MS" w:hAnsi="Trebuchet MS"/>
          <w:b/>
          <w:color w:val="000000"/>
          <w:sz w:val="20"/>
          <w:szCs w:val="20"/>
        </w:rPr>
      </w:pPr>
      <w:proofErr w:type="spellStart"/>
      <w:r w:rsidRPr="00ED4BF9">
        <w:rPr>
          <w:b/>
          <w:color w:val="000000"/>
          <w:sz w:val="20"/>
          <w:szCs w:val="20"/>
        </w:rPr>
        <w:t>Rajib</w:t>
      </w:r>
      <w:proofErr w:type="spellEnd"/>
      <w:r w:rsidRPr="00ED4BF9">
        <w:rPr>
          <w:b/>
          <w:color w:val="000000"/>
          <w:sz w:val="20"/>
          <w:szCs w:val="20"/>
        </w:rPr>
        <w:t xml:space="preserve"> </w:t>
      </w:r>
      <w:proofErr w:type="spellStart"/>
      <w:r w:rsidRPr="00ED4BF9">
        <w:rPr>
          <w:b/>
          <w:color w:val="000000"/>
          <w:sz w:val="20"/>
          <w:szCs w:val="20"/>
        </w:rPr>
        <w:t>Subba</w:t>
      </w:r>
      <w:proofErr w:type="spellEnd"/>
      <w:r w:rsidRPr="00ED4BF9">
        <w:rPr>
          <w:b/>
          <w:color w:val="000000"/>
          <w:sz w:val="20"/>
          <w:szCs w:val="20"/>
        </w:rPr>
        <w:t>, PhD,</w:t>
      </w:r>
      <w:r w:rsidR="00473A2C" w:rsidRPr="00473A2C">
        <w:rPr>
          <w:bCs/>
          <w:color w:val="000000"/>
          <w:sz w:val="20"/>
          <w:szCs w:val="20"/>
        </w:rPr>
        <w:t xml:space="preserve"> Deputy Inspector General of Police, is Director of Communication Direct</w:t>
      </w:r>
      <w:r w:rsidR="00473A2C">
        <w:rPr>
          <w:bCs/>
          <w:color w:val="000000"/>
          <w:sz w:val="20"/>
          <w:szCs w:val="20"/>
        </w:rPr>
        <w:t xml:space="preserve">orate, PHQ, </w:t>
      </w:r>
      <w:proofErr w:type="spellStart"/>
      <w:r w:rsidR="00473A2C">
        <w:rPr>
          <w:bCs/>
          <w:color w:val="000000"/>
          <w:sz w:val="20"/>
          <w:szCs w:val="20"/>
        </w:rPr>
        <w:t>Naxal</w:t>
      </w:r>
      <w:proofErr w:type="spellEnd"/>
      <w:r w:rsidR="00473A2C">
        <w:rPr>
          <w:bCs/>
          <w:color w:val="000000"/>
          <w:sz w:val="20"/>
          <w:szCs w:val="20"/>
        </w:rPr>
        <w:t>, Kathmandu.  He</w:t>
      </w:r>
      <w:r w:rsidR="00473A2C" w:rsidRPr="00473A2C">
        <w:rPr>
          <w:bCs/>
          <w:color w:val="000000"/>
          <w:sz w:val="20"/>
          <w:szCs w:val="20"/>
        </w:rPr>
        <w:t xml:space="preserve"> teaches Masters students at Kings College, Kathmandu, </w:t>
      </w:r>
      <w:proofErr w:type="gramStart"/>
      <w:r w:rsidR="00473A2C" w:rsidRPr="00473A2C">
        <w:rPr>
          <w:bCs/>
          <w:color w:val="000000"/>
          <w:sz w:val="20"/>
          <w:szCs w:val="20"/>
        </w:rPr>
        <w:t>an</w:t>
      </w:r>
      <w:proofErr w:type="gramEnd"/>
      <w:r w:rsidR="00473A2C" w:rsidRPr="00473A2C">
        <w:rPr>
          <w:bCs/>
          <w:color w:val="000000"/>
          <w:sz w:val="20"/>
          <w:szCs w:val="20"/>
        </w:rPr>
        <w:t xml:space="preserve"> affiliate of </w:t>
      </w:r>
      <w:proofErr w:type="spellStart"/>
      <w:r w:rsidR="00473A2C" w:rsidRPr="00473A2C">
        <w:rPr>
          <w:bCs/>
          <w:color w:val="000000"/>
          <w:sz w:val="20"/>
          <w:szCs w:val="20"/>
        </w:rPr>
        <w:t>Westcliff</w:t>
      </w:r>
      <w:proofErr w:type="spellEnd"/>
      <w:r w:rsidR="00473A2C" w:rsidRPr="00473A2C">
        <w:rPr>
          <w:bCs/>
          <w:color w:val="000000"/>
          <w:sz w:val="20"/>
          <w:szCs w:val="20"/>
        </w:rPr>
        <w:t xml:space="preserve"> University, USA. He is working extensively on Digital and Conventional Radio Communication Systems, Information Systems, Crisis Information Management, Research, Training and Capacity Building since 1993. Graduated with a PhD degree (Communication and Information Sc.) from University of Hawaii at </w:t>
      </w:r>
      <w:proofErr w:type="spellStart"/>
      <w:r w:rsidR="00473A2C" w:rsidRPr="00473A2C">
        <w:rPr>
          <w:bCs/>
          <w:color w:val="000000"/>
          <w:sz w:val="20"/>
          <w:szCs w:val="20"/>
        </w:rPr>
        <w:t>Manoa</w:t>
      </w:r>
      <w:proofErr w:type="spellEnd"/>
      <w:r w:rsidR="00473A2C" w:rsidRPr="00473A2C">
        <w:rPr>
          <w:bCs/>
          <w:color w:val="000000"/>
          <w:sz w:val="20"/>
          <w:szCs w:val="20"/>
        </w:rPr>
        <w:t xml:space="preserve">, Hawaii, USA, Dr. </w:t>
      </w:r>
      <w:proofErr w:type="spellStart"/>
      <w:r w:rsidR="00473A2C" w:rsidRPr="00473A2C">
        <w:rPr>
          <w:bCs/>
          <w:color w:val="000000"/>
          <w:sz w:val="20"/>
          <w:szCs w:val="20"/>
        </w:rPr>
        <w:t>Subba</w:t>
      </w:r>
      <w:proofErr w:type="spellEnd"/>
      <w:r w:rsidR="00473A2C" w:rsidRPr="00473A2C">
        <w:rPr>
          <w:bCs/>
          <w:color w:val="000000"/>
          <w:sz w:val="20"/>
          <w:szCs w:val="20"/>
        </w:rPr>
        <w:t xml:space="preserve"> has published several research papers on Information and Communication Technology and Crisis Management. Based on his research he initiated several crisis management programs through information age technologies including Social Media for public service during and after the 2015 Nepal earthquake. He was awarded with two recognition in 2015 including the NAST's National Science and Technology Promotion Award.  Dr. </w:t>
      </w:r>
      <w:proofErr w:type="spellStart"/>
      <w:r w:rsidR="00473A2C" w:rsidRPr="00473A2C">
        <w:rPr>
          <w:bCs/>
          <w:color w:val="000000"/>
          <w:sz w:val="20"/>
          <w:szCs w:val="20"/>
        </w:rPr>
        <w:t>Subba</w:t>
      </w:r>
      <w:proofErr w:type="spellEnd"/>
      <w:r w:rsidR="00473A2C" w:rsidRPr="00473A2C">
        <w:rPr>
          <w:bCs/>
          <w:color w:val="000000"/>
          <w:sz w:val="20"/>
          <w:szCs w:val="20"/>
        </w:rPr>
        <w:t xml:space="preserve"> has worked for national and international agencies including ITC/UNCTAD, University of Hawaii and the United Nations Mission in Kosovo. In addition he has served Computer Association of Nepal as First Vice President, General Secretary and Secretary and Nepal Internet Users Group as Vice President and Member.</w:t>
      </w:r>
    </w:p>
    <w:p w14:paraId="68C6C60D" w14:textId="6581D900" w:rsidR="00971BE6" w:rsidRPr="000F697B" w:rsidRDefault="00971BE6" w:rsidP="00971BE6">
      <w:pPr>
        <w:spacing w:line="240" w:lineRule="auto"/>
        <w:rPr>
          <w:rFonts w:cstheme="minorHAnsi"/>
          <w:b/>
          <w:sz w:val="20"/>
          <w:szCs w:val="20"/>
        </w:rPr>
      </w:pPr>
      <w:r w:rsidRPr="00971BE6">
        <w:rPr>
          <w:rFonts w:cstheme="minorHAnsi"/>
          <w:b/>
          <w:bCs/>
          <w:color w:val="000000"/>
          <w:sz w:val="20"/>
          <w:szCs w:val="20"/>
        </w:rPr>
        <w:t xml:space="preserve">Allen </w:t>
      </w:r>
      <w:proofErr w:type="spellStart"/>
      <w:r w:rsidRPr="00971BE6">
        <w:rPr>
          <w:rFonts w:cstheme="minorHAnsi"/>
          <w:b/>
          <w:bCs/>
          <w:color w:val="000000"/>
          <w:sz w:val="20"/>
          <w:szCs w:val="20"/>
        </w:rPr>
        <w:t>Tuladhar</w:t>
      </w:r>
      <w:proofErr w:type="spellEnd"/>
      <w:r>
        <w:rPr>
          <w:rFonts w:cstheme="minorHAnsi"/>
          <w:color w:val="000000"/>
          <w:sz w:val="20"/>
          <w:szCs w:val="20"/>
        </w:rPr>
        <w:t xml:space="preserve"> is Managing Director of</w:t>
      </w:r>
      <w:r w:rsidRPr="00971BE6">
        <w:rPr>
          <w:rFonts w:cstheme="minorHAnsi"/>
          <w:color w:val="000000"/>
          <w:sz w:val="20"/>
          <w:szCs w:val="20"/>
        </w:rPr>
        <w:t xml:space="preserve"> </w:t>
      </w:r>
      <w:proofErr w:type="spellStart"/>
      <w:r w:rsidRPr="00971BE6">
        <w:rPr>
          <w:rFonts w:cstheme="minorHAnsi"/>
          <w:color w:val="000000"/>
          <w:sz w:val="20"/>
          <w:szCs w:val="20"/>
        </w:rPr>
        <w:t>PicoSoft</w:t>
      </w:r>
      <w:proofErr w:type="spellEnd"/>
      <w:r w:rsidRPr="00971BE6">
        <w:rPr>
          <w:rFonts w:cstheme="minorHAnsi"/>
          <w:color w:val="000000"/>
          <w:sz w:val="20"/>
          <w:szCs w:val="20"/>
        </w:rPr>
        <w:t xml:space="preserve"> Private Limited, a rural ISP dedicated to rural area of Nepal and working on possibility of high-end network solutions for rural Nepal.  Besides, he has been working in the field of local language computing in the information &amp; Communication sector of Nepal for the past 24 years. He has been contributing to International Standards Development in the field of local language computing to ISO &amp; Unicode. He was awarded Most Valuable Professional by Microsoft for 2005 and re-awarded this prestigious recognition again in 2006, 7, 8, 9 and for sixth consecutive year in 2010. In August 20</w:t>
      </w:r>
      <w:r>
        <w:rPr>
          <w:rFonts w:cstheme="minorHAnsi"/>
          <w:color w:val="000000"/>
          <w:sz w:val="20"/>
          <w:szCs w:val="20"/>
        </w:rPr>
        <w:t>06, United Nations recognized him</w:t>
      </w:r>
      <w:r w:rsidRPr="00971BE6">
        <w:rPr>
          <w:rFonts w:cstheme="minorHAnsi"/>
          <w:color w:val="000000"/>
          <w:sz w:val="20"/>
          <w:szCs w:val="20"/>
        </w:rPr>
        <w:t xml:space="preserve"> as a Champion in using ICT for development in the Global Alliance for ICT for Development. From 2007, he was also responsible for Microsoft's presence in Nepal thru its office as Microsoft MDP Nepal as its Country Manager. He has been responsible for working with the academic sector, local software economy, advocacy with the local and central government and creating the startup ecosystem in Nepal as the Country Director of Microsoft Innovation Ce</w:t>
      </w:r>
      <w:r>
        <w:rPr>
          <w:rFonts w:cstheme="minorHAnsi"/>
          <w:color w:val="000000"/>
          <w:sz w:val="20"/>
          <w:szCs w:val="20"/>
        </w:rPr>
        <w:t>nter Nepal. [allen@micnepal.org</w:t>
      </w:r>
      <w:r w:rsidRPr="00971BE6">
        <w:rPr>
          <w:rFonts w:cstheme="minorHAnsi"/>
          <w:color w:val="000000"/>
          <w:sz w:val="20"/>
          <w:szCs w:val="20"/>
        </w:rPr>
        <w:t>]</w:t>
      </w:r>
    </w:p>
    <w:p w14:paraId="1C0BFB8E" w14:textId="77777777" w:rsidR="00810CA0" w:rsidRDefault="00810CA0">
      <w:pPr>
        <w:rPr>
          <w:rFonts w:cs="Arial"/>
          <w:b/>
          <w:bCs/>
          <w:szCs w:val="20"/>
        </w:rPr>
      </w:pPr>
    </w:p>
    <w:p w14:paraId="12BE27E4" w14:textId="77777777" w:rsidR="009310C0" w:rsidRPr="00CF7D28" w:rsidRDefault="004C09D1" w:rsidP="009310C0">
      <w:pPr>
        <w:rPr>
          <w:b/>
        </w:rPr>
      </w:pPr>
      <w:r>
        <w:rPr>
          <w:b/>
        </w:rPr>
        <w:br w:type="page"/>
      </w:r>
    </w:p>
    <w:p w14:paraId="240D1D3D" w14:textId="77777777" w:rsidR="003B5BA1" w:rsidRDefault="003B5BA1" w:rsidP="00DE791C">
      <w:pPr>
        <w:pStyle w:val="Heading1"/>
        <w:numPr>
          <w:ilvl w:val="0"/>
          <w:numId w:val="1"/>
        </w:numPr>
        <w:spacing w:before="0" w:line="240" w:lineRule="auto"/>
      </w:pPr>
      <w:r>
        <w:lastRenderedPageBreak/>
        <w:t>Resource material</w:t>
      </w:r>
    </w:p>
    <w:p w14:paraId="2627649C" w14:textId="77777777" w:rsidR="003B5BA1" w:rsidRDefault="003B5BA1" w:rsidP="003B5BA1"/>
    <w:p w14:paraId="27128AE1" w14:textId="138669CF" w:rsidR="00E85DBC" w:rsidRDefault="00967E62" w:rsidP="003B5BA1">
      <w:pPr>
        <w:rPr>
          <w:sz w:val="20"/>
          <w:szCs w:val="20"/>
        </w:rPr>
      </w:pPr>
      <w:r>
        <w:rPr>
          <w:sz w:val="20"/>
          <w:szCs w:val="20"/>
        </w:rPr>
        <w:t>Bauer, J.M.; Kim, J.</w:t>
      </w:r>
      <w:r w:rsidR="00E85DBC" w:rsidRPr="000F697B">
        <w:rPr>
          <w:sz w:val="20"/>
          <w:szCs w:val="20"/>
        </w:rPr>
        <w:t>; &amp;</w:t>
      </w:r>
      <w:r>
        <w:rPr>
          <w:sz w:val="20"/>
          <w:szCs w:val="20"/>
        </w:rPr>
        <w:t xml:space="preserve"> Wildman, S.</w:t>
      </w:r>
      <w:r w:rsidR="00E85DBC" w:rsidRPr="000F697B">
        <w:rPr>
          <w:sz w:val="20"/>
          <w:szCs w:val="20"/>
        </w:rPr>
        <w:t xml:space="preserve">S. (2005).  An integrated framework for assessing broadband policy options.  MICH. ST. L. REV. 21, pp. 21-50. </w:t>
      </w:r>
    </w:p>
    <w:p w14:paraId="0D66954F" w14:textId="0B859F49" w:rsidR="00E85DBC" w:rsidRDefault="00967E62" w:rsidP="003B5BA1">
      <w:pPr>
        <w:rPr>
          <w:sz w:val="20"/>
          <w:szCs w:val="20"/>
        </w:rPr>
      </w:pPr>
      <w:proofErr w:type="spellStart"/>
      <w:r>
        <w:rPr>
          <w:sz w:val="20"/>
          <w:szCs w:val="20"/>
        </w:rPr>
        <w:t>Cihon</w:t>
      </w:r>
      <w:proofErr w:type="spellEnd"/>
      <w:r>
        <w:rPr>
          <w:sz w:val="20"/>
          <w:szCs w:val="20"/>
        </w:rPr>
        <w:t>, P.</w:t>
      </w:r>
      <w:r w:rsidR="00E85DBC">
        <w:rPr>
          <w:sz w:val="20"/>
          <w:szCs w:val="20"/>
        </w:rPr>
        <w:t xml:space="preserve"> &amp; </w:t>
      </w:r>
      <w:proofErr w:type="spellStart"/>
      <w:r w:rsidR="00E85DBC">
        <w:rPr>
          <w:sz w:val="20"/>
          <w:szCs w:val="20"/>
        </w:rPr>
        <w:t>Galpaya</w:t>
      </w:r>
      <w:proofErr w:type="spellEnd"/>
      <w:r w:rsidR="00E85DBC">
        <w:rPr>
          <w:sz w:val="20"/>
          <w:szCs w:val="20"/>
        </w:rPr>
        <w:t xml:space="preserve">, H. (2017).  Navigating the walled garden:  Free and subsidized data use in Myanmar.  </w:t>
      </w:r>
      <w:hyperlink r:id="rId11" w:history="1">
        <w:r w:rsidR="00E85DBC" w:rsidRPr="006663A9">
          <w:rPr>
            <w:rStyle w:val="Hyperlink"/>
            <w:sz w:val="20"/>
            <w:szCs w:val="20"/>
          </w:rPr>
          <w:t>http://lirneasia.net/wp-content/uploads/2017/03/NavigatingTheWalledGarden_CihonGalpaya_2017.pdf</w:t>
        </w:r>
      </w:hyperlink>
      <w:r w:rsidR="00E85DBC">
        <w:rPr>
          <w:sz w:val="20"/>
          <w:szCs w:val="20"/>
        </w:rPr>
        <w:t xml:space="preserve"> </w:t>
      </w:r>
    </w:p>
    <w:p w14:paraId="337ABAB0" w14:textId="77777777" w:rsidR="00E85DBC" w:rsidRDefault="00E85DBC" w:rsidP="003B5BA1">
      <w:pPr>
        <w:rPr>
          <w:sz w:val="20"/>
          <w:szCs w:val="20"/>
        </w:rPr>
      </w:pPr>
      <w:r w:rsidRPr="00C34EC3">
        <w:rPr>
          <w:sz w:val="20"/>
          <w:szCs w:val="20"/>
        </w:rPr>
        <w:t xml:space="preserve">Elder, L.; Samarajiva, </w:t>
      </w:r>
      <w:r>
        <w:rPr>
          <w:sz w:val="20"/>
          <w:szCs w:val="20"/>
        </w:rPr>
        <w:t xml:space="preserve">R.; </w:t>
      </w:r>
      <w:proofErr w:type="spellStart"/>
      <w:r>
        <w:rPr>
          <w:sz w:val="20"/>
          <w:szCs w:val="20"/>
        </w:rPr>
        <w:t>Gillwald</w:t>
      </w:r>
      <w:proofErr w:type="spellEnd"/>
      <w:r>
        <w:rPr>
          <w:sz w:val="20"/>
          <w:szCs w:val="20"/>
        </w:rPr>
        <w:t xml:space="preserve">, A. &amp; </w:t>
      </w:r>
      <w:proofErr w:type="spellStart"/>
      <w:r>
        <w:rPr>
          <w:sz w:val="20"/>
          <w:szCs w:val="20"/>
        </w:rPr>
        <w:t>Galperin</w:t>
      </w:r>
      <w:proofErr w:type="spellEnd"/>
      <w:r>
        <w:rPr>
          <w:sz w:val="20"/>
          <w:szCs w:val="20"/>
        </w:rPr>
        <w:t xml:space="preserve">, A. (2013).  </w:t>
      </w:r>
      <w:r w:rsidRPr="00C34EC3">
        <w:rPr>
          <w:i/>
          <w:iCs/>
          <w:sz w:val="20"/>
          <w:szCs w:val="20"/>
        </w:rPr>
        <w:t>Information lives of the poor:  Fighting poverty with technology.</w:t>
      </w:r>
      <w:r w:rsidRPr="00C34EC3">
        <w:rPr>
          <w:sz w:val="20"/>
          <w:szCs w:val="20"/>
        </w:rPr>
        <w:t xml:space="preserve">  Ottawa:  IDRC. </w:t>
      </w:r>
      <w:r>
        <w:rPr>
          <w:sz w:val="20"/>
          <w:szCs w:val="20"/>
        </w:rPr>
        <w:t xml:space="preserve"> </w:t>
      </w:r>
      <w:hyperlink r:id="rId12" w:history="1">
        <w:r w:rsidRPr="00965102">
          <w:rPr>
            <w:rStyle w:val="Hyperlink"/>
            <w:sz w:val="20"/>
            <w:szCs w:val="20"/>
          </w:rPr>
          <w:t>https://www.idrc.ca/en/book/infocus-information-lives-poor-fighting-poverty-technology</w:t>
        </w:r>
      </w:hyperlink>
      <w:r>
        <w:rPr>
          <w:sz w:val="20"/>
          <w:szCs w:val="20"/>
        </w:rPr>
        <w:t xml:space="preserve"> </w:t>
      </w:r>
    </w:p>
    <w:p w14:paraId="0658B441" w14:textId="77777777" w:rsidR="00E85DBC" w:rsidRDefault="00E85DBC" w:rsidP="003B5BA1">
      <w:pPr>
        <w:rPr>
          <w:sz w:val="20"/>
          <w:szCs w:val="20"/>
        </w:rPr>
      </w:pPr>
      <w:proofErr w:type="spellStart"/>
      <w:r>
        <w:rPr>
          <w:sz w:val="20"/>
          <w:szCs w:val="20"/>
        </w:rPr>
        <w:t>Galpaya</w:t>
      </w:r>
      <w:proofErr w:type="spellEnd"/>
      <w:r>
        <w:rPr>
          <w:sz w:val="20"/>
          <w:szCs w:val="20"/>
        </w:rPr>
        <w:t xml:space="preserve">, H. (2016).  </w:t>
      </w:r>
      <w:r w:rsidRPr="00E85DBC">
        <w:rPr>
          <w:i/>
          <w:iCs/>
          <w:sz w:val="20"/>
          <w:szCs w:val="20"/>
        </w:rPr>
        <w:t>Zero rating in emerging economies</w:t>
      </w:r>
      <w:r>
        <w:rPr>
          <w:sz w:val="20"/>
          <w:szCs w:val="20"/>
        </w:rPr>
        <w:t xml:space="preserve">.  Global Commission on Internet Governance.  </w:t>
      </w:r>
      <w:hyperlink r:id="rId13" w:history="1">
        <w:r w:rsidRPr="00965102">
          <w:rPr>
            <w:rStyle w:val="Hyperlink"/>
            <w:sz w:val="20"/>
            <w:szCs w:val="20"/>
          </w:rPr>
          <w:t>https://www.ourinternet.org/research/zero-rating-emerging-economies</w:t>
        </w:r>
      </w:hyperlink>
      <w:r>
        <w:rPr>
          <w:sz w:val="20"/>
          <w:szCs w:val="20"/>
        </w:rPr>
        <w:t xml:space="preserve"> </w:t>
      </w:r>
    </w:p>
    <w:p w14:paraId="1407CB93" w14:textId="77777777" w:rsidR="00E85DBC" w:rsidRPr="00284676" w:rsidRDefault="00E85DBC" w:rsidP="00284676">
      <w:pPr>
        <w:spacing w:after="160" w:line="259" w:lineRule="auto"/>
        <w:rPr>
          <w:rFonts w:ascii="Calibri" w:eastAsia="Calibri" w:hAnsi="Calibri" w:cs="Iskoola Pota"/>
          <w:sz w:val="20"/>
          <w:szCs w:val="20"/>
          <w:lang w:bidi="ar-SA"/>
        </w:rPr>
      </w:pPr>
      <w:r w:rsidRPr="00284676">
        <w:rPr>
          <w:rFonts w:ascii="Calibri" w:eastAsia="Calibri" w:hAnsi="Calibri" w:cs="Iskoola Pota"/>
          <w:sz w:val="20"/>
          <w:szCs w:val="20"/>
          <w:lang w:bidi="ar-SA"/>
        </w:rPr>
        <w:t>Government of Nepal (</w:t>
      </w:r>
      <w:proofErr w:type="spellStart"/>
      <w:r w:rsidRPr="00284676">
        <w:rPr>
          <w:rFonts w:ascii="Calibri" w:eastAsia="Calibri" w:hAnsi="Calibri" w:cs="Iskoola Pota"/>
          <w:sz w:val="20"/>
          <w:szCs w:val="20"/>
          <w:lang w:bidi="ar-SA"/>
        </w:rPr>
        <w:t>n.d.</w:t>
      </w:r>
      <w:proofErr w:type="spellEnd"/>
      <w:r w:rsidRPr="00284676">
        <w:rPr>
          <w:rFonts w:ascii="Calibri" w:eastAsia="Calibri" w:hAnsi="Calibri" w:cs="Iskoola Pota"/>
          <w:sz w:val="20"/>
          <w:szCs w:val="20"/>
          <w:lang w:bidi="ar-SA"/>
        </w:rPr>
        <w:t xml:space="preserve">).  Draft National Broadband Policy.  </w:t>
      </w:r>
      <w:hyperlink r:id="rId14" w:history="1">
        <w:r w:rsidRPr="00284676">
          <w:rPr>
            <w:rFonts w:ascii="Calibri" w:eastAsia="Calibri" w:hAnsi="Calibri" w:cs="Iskoola Pota"/>
            <w:color w:val="0563C1"/>
            <w:sz w:val="20"/>
            <w:szCs w:val="20"/>
            <w:u w:val="single"/>
            <w:lang w:bidi="ar-SA"/>
          </w:rPr>
          <w:t>http://www.nta.gov.np/ne/component/joomdoc/Broadband%20Policy-Draft.pdf/download</w:t>
        </w:r>
      </w:hyperlink>
      <w:r w:rsidRPr="00284676">
        <w:rPr>
          <w:rFonts w:ascii="Calibri" w:eastAsia="Calibri" w:hAnsi="Calibri" w:cs="Iskoola Pota"/>
          <w:sz w:val="20"/>
          <w:szCs w:val="20"/>
          <w:lang w:bidi="ar-SA"/>
        </w:rPr>
        <w:t xml:space="preserve"> </w:t>
      </w:r>
    </w:p>
    <w:p w14:paraId="0A199575" w14:textId="77777777" w:rsidR="00E85DBC" w:rsidRPr="000F697B" w:rsidRDefault="00E85DBC" w:rsidP="003B5BA1">
      <w:pPr>
        <w:rPr>
          <w:sz w:val="20"/>
          <w:szCs w:val="20"/>
        </w:rPr>
      </w:pPr>
      <w:proofErr w:type="spellStart"/>
      <w:r w:rsidRPr="000F697B">
        <w:rPr>
          <w:sz w:val="20"/>
          <w:szCs w:val="20"/>
        </w:rPr>
        <w:t>Gunaratne</w:t>
      </w:r>
      <w:proofErr w:type="spellEnd"/>
      <w:r w:rsidRPr="000F697B">
        <w:rPr>
          <w:sz w:val="20"/>
          <w:szCs w:val="20"/>
        </w:rPr>
        <w:t xml:space="preserve">, R.L., et al. (2015). National broadband networks of Malaysia, India, Indonesia and Australia: A comparative study. </w:t>
      </w:r>
      <w:r w:rsidRPr="000F697B">
        <w:rPr>
          <w:i/>
          <w:iCs/>
          <w:sz w:val="20"/>
          <w:szCs w:val="20"/>
        </w:rPr>
        <w:t>Competition and regulation in network industries</w:t>
      </w:r>
      <w:r w:rsidRPr="000F697B">
        <w:rPr>
          <w:sz w:val="20"/>
          <w:szCs w:val="20"/>
        </w:rPr>
        <w:t xml:space="preserve">. </w:t>
      </w:r>
      <w:proofErr w:type="spellStart"/>
      <w:r w:rsidRPr="000F697B">
        <w:rPr>
          <w:sz w:val="20"/>
          <w:szCs w:val="20"/>
        </w:rPr>
        <w:t>Vol</w:t>
      </w:r>
      <w:proofErr w:type="spellEnd"/>
      <w:r w:rsidRPr="000F697B">
        <w:rPr>
          <w:sz w:val="20"/>
          <w:szCs w:val="20"/>
        </w:rPr>
        <w:t xml:space="preserve"> 16(1): 23-46.</w:t>
      </w:r>
    </w:p>
    <w:p w14:paraId="12874ED2" w14:textId="77777777" w:rsidR="00E85DBC" w:rsidRPr="000F697B" w:rsidRDefault="00E85DBC" w:rsidP="003B5BA1">
      <w:pPr>
        <w:rPr>
          <w:sz w:val="20"/>
          <w:szCs w:val="20"/>
        </w:rPr>
      </w:pPr>
      <w:proofErr w:type="spellStart"/>
      <w:r w:rsidRPr="000F697B">
        <w:rPr>
          <w:sz w:val="20"/>
          <w:szCs w:val="20"/>
        </w:rPr>
        <w:t>InfoDev</w:t>
      </w:r>
      <w:proofErr w:type="spellEnd"/>
      <w:r w:rsidRPr="000F697B">
        <w:rPr>
          <w:sz w:val="20"/>
          <w:szCs w:val="20"/>
        </w:rPr>
        <w:t xml:space="preserve">.  </w:t>
      </w:r>
      <w:r w:rsidRPr="000F697B">
        <w:rPr>
          <w:i/>
          <w:iCs/>
          <w:sz w:val="20"/>
          <w:szCs w:val="20"/>
        </w:rPr>
        <w:t>Broadband strategies toolkit</w:t>
      </w:r>
      <w:r w:rsidRPr="000F697B">
        <w:rPr>
          <w:sz w:val="20"/>
          <w:szCs w:val="20"/>
        </w:rPr>
        <w:t xml:space="preserve">.  </w:t>
      </w:r>
      <w:hyperlink r:id="rId15" w:history="1">
        <w:r w:rsidRPr="000F697B">
          <w:rPr>
            <w:rStyle w:val="Hyperlink"/>
            <w:sz w:val="20"/>
            <w:szCs w:val="20"/>
          </w:rPr>
          <w:t>http://broadbandtoolkit.org/en/toolkit/contents</w:t>
        </w:r>
      </w:hyperlink>
      <w:r w:rsidRPr="000F697B">
        <w:rPr>
          <w:sz w:val="20"/>
          <w:szCs w:val="20"/>
        </w:rPr>
        <w:t xml:space="preserve"> </w:t>
      </w:r>
    </w:p>
    <w:p w14:paraId="6BE7934C" w14:textId="389C0EE3" w:rsidR="00E85DBC" w:rsidRPr="000F697B" w:rsidRDefault="00967E62" w:rsidP="003B5BA1">
      <w:pPr>
        <w:rPr>
          <w:sz w:val="20"/>
          <w:szCs w:val="20"/>
        </w:rPr>
      </w:pPr>
      <w:proofErr w:type="spellStart"/>
      <w:r>
        <w:rPr>
          <w:sz w:val="20"/>
          <w:szCs w:val="20"/>
        </w:rPr>
        <w:t>Junio</w:t>
      </w:r>
      <w:proofErr w:type="spellEnd"/>
      <w:r>
        <w:rPr>
          <w:sz w:val="20"/>
          <w:szCs w:val="20"/>
        </w:rPr>
        <w:t>, D.R.</w:t>
      </w:r>
      <w:r w:rsidR="00E85DBC" w:rsidRPr="000F697B">
        <w:rPr>
          <w:sz w:val="20"/>
          <w:szCs w:val="20"/>
        </w:rPr>
        <w:t xml:space="preserve"> (2012). Does a National Broadband Plan Matter? A Comparative Analysis of Broadband Plans in Hong Kong and Singapore </w:t>
      </w:r>
      <w:hyperlink r:id="rId16" w:history="1">
        <w:r w:rsidR="00E85DBC" w:rsidRPr="000F697B">
          <w:rPr>
            <w:rStyle w:val="Hyperlink"/>
            <w:sz w:val="20"/>
            <w:szCs w:val="20"/>
          </w:rPr>
          <w:t>http://papers.ssrn.com/sol3/papers.cfm?abstract_id=2146566</w:t>
        </w:r>
      </w:hyperlink>
    </w:p>
    <w:p w14:paraId="2E0AAF9D" w14:textId="77777777" w:rsidR="00E85DBC" w:rsidRPr="000F697B" w:rsidRDefault="00E85DBC" w:rsidP="00BB6078">
      <w:pPr>
        <w:ind w:left="720" w:hanging="720"/>
        <w:rPr>
          <w:sz w:val="20"/>
          <w:szCs w:val="20"/>
        </w:rPr>
      </w:pPr>
      <w:r w:rsidRPr="000F697B">
        <w:rPr>
          <w:sz w:val="20"/>
          <w:szCs w:val="20"/>
        </w:rPr>
        <w:t xml:space="preserve">LIRNEasia.  Broadband for all.  </w:t>
      </w:r>
      <w:hyperlink r:id="rId17" w:history="1">
        <w:r w:rsidRPr="000F697B">
          <w:rPr>
            <w:rStyle w:val="Hyperlink"/>
            <w:sz w:val="20"/>
            <w:szCs w:val="20"/>
          </w:rPr>
          <w:t>http://lirneasia.net/projects/broadband-for-all/</w:t>
        </w:r>
      </w:hyperlink>
      <w:r w:rsidRPr="000F697B">
        <w:rPr>
          <w:sz w:val="20"/>
          <w:szCs w:val="20"/>
        </w:rPr>
        <w:t xml:space="preserve">  </w:t>
      </w:r>
    </w:p>
    <w:p w14:paraId="6AFFEE2D" w14:textId="77777777" w:rsidR="00E85DBC" w:rsidRPr="000F697B" w:rsidRDefault="00E85DBC" w:rsidP="00BB6078">
      <w:pPr>
        <w:ind w:left="720" w:hanging="720"/>
        <w:rPr>
          <w:sz w:val="20"/>
          <w:szCs w:val="20"/>
        </w:rPr>
      </w:pPr>
      <w:r w:rsidRPr="000F697B">
        <w:rPr>
          <w:sz w:val="20"/>
          <w:szCs w:val="20"/>
        </w:rPr>
        <w:t xml:space="preserve">LIRNEasia. </w:t>
      </w:r>
      <w:r w:rsidRPr="000F697B">
        <w:rPr>
          <w:i/>
          <w:sz w:val="20"/>
          <w:szCs w:val="20"/>
        </w:rPr>
        <w:t>Indian Broadband Policy and Regulatory Resources</w:t>
      </w:r>
      <w:r w:rsidRPr="000F697B">
        <w:rPr>
          <w:sz w:val="20"/>
          <w:szCs w:val="20"/>
        </w:rPr>
        <w:t xml:space="preserve">. </w:t>
      </w:r>
      <w:hyperlink r:id="rId18" w:history="1">
        <w:r w:rsidRPr="000F697B">
          <w:rPr>
            <w:rStyle w:val="Hyperlink"/>
            <w:sz w:val="20"/>
            <w:szCs w:val="20"/>
          </w:rPr>
          <w:t>http://broadbandasia.info/</w:t>
        </w:r>
      </w:hyperlink>
      <w:r w:rsidRPr="000F697B">
        <w:rPr>
          <w:sz w:val="20"/>
          <w:szCs w:val="20"/>
        </w:rPr>
        <w:t xml:space="preserve">  </w:t>
      </w:r>
    </w:p>
    <w:p w14:paraId="776133DF" w14:textId="2695E6F8" w:rsidR="00E85DBC" w:rsidRPr="00E85DBC" w:rsidRDefault="00E85DBC" w:rsidP="00E85DBC">
      <w:pPr>
        <w:rPr>
          <w:sz w:val="20"/>
          <w:szCs w:val="20"/>
        </w:rPr>
      </w:pPr>
      <w:r w:rsidRPr="00E85DBC">
        <w:rPr>
          <w:sz w:val="20"/>
          <w:szCs w:val="20"/>
        </w:rPr>
        <w:t xml:space="preserve">Samarajiva, R. &amp; </w:t>
      </w:r>
      <w:proofErr w:type="spellStart"/>
      <w:r w:rsidRPr="00E85DBC">
        <w:rPr>
          <w:sz w:val="20"/>
          <w:szCs w:val="20"/>
        </w:rPr>
        <w:t>Waidyanatha</w:t>
      </w:r>
      <w:proofErr w:type="spellEnd"/>
      <w:r w:rsidRPr="00E85DBC">
        <w:rPr>
          <w:sz w:val="20"/>
          <w:szCs w:val="20"/>
        </w:rPr>
        <w:t xml:space="preserve">, N.  (2009). </w:t>
      </w:r>
      <w:r w:rsidR="00967E62">
        <w:rPr>
          <w:sz w:val="20"/>
          <w:szCs w:val="20"/>
        </w:rPr>
        <w:t xml:space="preserve"> </w:t>
      </w:r>
      <w:r w:rsidRPr="00E85DBC">
        <w:rPr>
          <w:sz w:val="20"/>
          <w:szCs w:val="20"/>
        </w:rPr>
        <w:t xml:space="preserve">Two complementary mobile technologies for disaster warning, </w:t>
      </w:r>
      <w:r w:rsidRPr="00E85DBC">
        <w:rPr>
          <w:i/>
          <w:iCs/>
          <w:sz w:val="20"/>
          <w:szCs w:val="20"/>
        </w:rPr>
        <w:t>Info</w:t>
      </w:r>
      <w:r w:rsidRPr="00E85DBC">
        <w:rPr>
          <w:sz w:val="20"/>
          <w:szCs w:val="20"/>
        </w:rPr>
        <w:t xml:space="preserve">, 11(2): 58-65.  </w:t>
      </w:r>
      <w:hyperlink r:id="rId19" w:history="1">
        <w:r w:rsidRPr="00965102">
          <w:rPr>
            <w:rStyle w:val="Hyperlink"/>
            <w:sz w:val="20"/>
            <w:szCs w:val="20"/>
          </w:rPr>
          <w:t>https://www.researchgate.net/publication/235291227_Two_complementary_mobile_technologies_for_disaster_warning</w:t>
        </w:r>
      </w:hyperlink>
      <w:r>
        <w:rPr>
          <w:sz w:val="20"/>
          <w:szCs w:val="20"/>
        </w:rPr>
        <w:t xml:space="preserve"> </w:t>
      </w:r>
      <w:r w:rsidRPr="00E85DBC">
        <w:rPr>
          <w:sz w:val="20"/>
          <w:szCs w:val="20"/>
        </w:rPr>
        <w:t xml:space="preserve">  </w:t>
      </w:r>
    </w:p>
    <w:p w14:paraId="670FF835" w14:textId="77777777" w:rsidR="00E85DBC" w:rsidRPr="00E85DBC" w:rsidRDefault="00E85DBC" w:rsidP="00E85DBC">
      <w:pPr>
        <w:rPr>
          <w:sz w:val="20"/>
          <w:szCs w:val="20"/>
        </w:rPr>
      </w:pPr>
      <w:r w:rsidRPr="00E85DBC">
        <w:rPr>
          <w:sz w:val="20"/>
          <w:szCs w:val="20"/>
        </w:rPr>
        <w:t xml:space="preserve">Samarajiva, R. &amp; </w:t>
      </w:r>
      <w:proofErr w:type="spellStart"/>
      <w:r w:rsidRPr="00E85DBC">
        <w:rPr>
          <w:sz w:val="20"/>
          <w:szCs w:val="20"/>
        </w:rPr>
        <w:t>Zuhyle</w:t>
      </w:r>
      <w:proofErr w:type="spellEnd"/>
      <w:r w:rsidRPr="00E85DBC">
        <w:rPr>
          <w:sz w:val="20"/>
          <w:szCs w:val="20"/>
        </w:rPr>
        <w:t xml:space="preserve">, S. (2014).  The resilience of ICT infrastructures and their role during disasters.  UN ESCAP ICT for Resilient Development Technical Paper 2014/1.  </w:t>
      </w:r>
      <w:hyperlink r:id="rId20" w:history="1">
        <w:r w:rsidRPr="00965102">
          <w:rPr>
            <w:rStyle w:val="Hyperlink"/>
            <w:sz w:val="20"/>
            <w:szCs w:val="20"/>
          </w:rPr>
          <w:t>http://www.unescap.org/sites/default/files/The%20resilience%20of%20ICT%20Infrastructures.pdf</w:t>
        </w:r>
      </w:hyperlink>
      <w:r>
        <w:rPr>
          <w:sz w:val="20"/>
          <w:szCs w:val="20"/>
        </w:rPr>
        <w:t xml:space="preserve"> </w:t>
      </w:r>
    </w:p>
    <w:p w14:paraId="6AB1EF61" w14:textId="77777777" w:rsidR="00E85DBC" w:rsidRDefault="00E85DBC" w:rsidP="00E85DBC">
      <w:pPr>
        <w:rPr>
          <w:sz w:val="20"/>
          <w:szCs w:val="20"/>
        </w:rPr>
      </w:pPr>
      <w:r w:rsidRPr="00E85DBC">
        <w:rPr>
          <w:sz w:val="20"/>
          <w:szCs w:val="20"/>
        </w:rPr>
        <w:t xml:space="preserve">Samarajiva, R. (2005).  Mobilizing information and communications technologies for effective disaster warning:  Lessons from the 2004 tsunami, </w:t>
      </w:r>
      <w:r w:rsidRPr="00E85DBC">
        <w:rPr>
          <w:i/>
          <w:iCs/>
          <w:sz w:val="20"/>
          <w:szCs w:val="20"/>
        </w:rPr>
        <w:t>New Media and Society</w:t>
      </w:r>
      <w:r w:rsidRPr="00E85DBC">
        <w:rPr>
          <w:sz w:val="20"/>
          <w:szCs w:val="20"/>
        </w:rPr>
        <w:t xml:space="preserve"> (7(6); 731-47: http://ssrn.com/abstract=1559744 </w:t>
      </w:r>
      <w:proofErr w:type="gramStart"/>
      <w:r w:rsidRPr="00E85DBC">
        <w:rPr>
          <w:sz w:val="20"/>
          <w:szCs w:val="20"/>
        </w:rPr>
        <w:t xml:space="preserve">&amp;  </w:t>
      </w:r>
      <w:proofErr w:type="gramEnd"/>
      <w:r w:rsidR="00164657">
        <w:fldChar w:fldCharType="begin"/>
      </w:r>
      <w:r w:rsidR="00164657">
        <w:instrText xml:space="preserve"> HYPERLINK "http://unpan1.un.org/intradoc/groups/public/documents/APCITY/UNPAN022464.pdf" </w:instrText>
      </w:r>
      <w:r w:rsidR="00164657">
        <w:fldChar w:fldCharType="separate"/>
      </w:r>
      <w:r w:rsidRPr="00965102">
        <w:rPr>
          <w:rStyle w:val="Hyperlink"/>
          <w:sz w:val="20"/>
          <w:szCs w:val="20"/>
        </w:rPr>
        <w:t>http://unpan1.un.org/intradoc/groups/public/documents/APCITY/UNPAN022464.pdf</w:t>
      </w:r>
      <w:r w:rsidR="00164657">
        <w:rPr>
          <w:rStyle w:val="Hyperlink"/>
          <w:sz w:val="20"/>
          <w:szCs w:val="20"/>
        </w:rPr>
        <w:fldChar w:fldCharType="end"/>
      </w:r>
    </w:p>
    <w:p w14:paraId="47394C2E" w14:textId="77777777" w:rsidR="00E85DBC" w:rsidRPr="000F697B" w:rsidRDefault="00E85DBC" w:rsidP="00E85DBC">
      <w:pPr>
        <w:rPr>
          <w:sz w:val="20"/>
          <w:szCs w:val="20"/>
        </w:rPr>
      </w:pPr>
      <w:r>
        <w:rPr>
          <w:sz w:val="20"/>
          <w:szCs w:val="20"/>
        </w:rPr>
        <w:lastRenderedPageBreak/>
        <w:t>Samarajiva, R.</w:t>
      </w:r>
      <w:r w:rsidRPr="000F697B">
        <w:rPr>
          <w:sz w:val="20"/>
          <w:szCs w:val="20"/>
        </w:rPr>
        <w:t xml:space="preserve"> (2006).  Preconditions for effective deployment of wireless technologies for development in the Asia-Pacific, </w:t>
      </w:r>
      <w:r w:rsidRPr="000F697B">
        <w:rPr>
          <w:i/>
          <w:iCs/>
          <w:sz w:val="20"/>
          <w:szCs w:val="20"/>
        </w:rPr>
        <w:t>Information Technology and International Development</w:t>
      </w:r>
      <w:r w:rsidRPr="000F697B">
        <w:rPr>
          <w:sz w:val="20"/>
          <w:szCs w:val="20"/>
        </w:rPr>
        <w:t xml:space="preserve">, 3(2): 57-71. </w:t>
      </w:r>
      <w:hyperlink r:id="rId21" w:history="1">
        <w:r w:rsidRPr="000F697B">
          <w:rPr>
            <w:rStyle w:val="Hyperlink"/>
            <w:sz w:val="20"/>
            <w:szCs w:val="20"/>
          </w:rPr>
          <w:t>http://itidjournal.org/itid/article/view/224/94</w:t>
        </w:r>
      </w:hyperlink>
      <w:r w:rsidRPr="000F697B">
        <w:rPr>
          <w:sz w:val="20"/>
          <w:szCs w:val="20"/>
        </w:rPr>
        <w:t xml:space="preserve"> </w:t>
      </w:r>
    </w:p>
    <w:p w14:paraId="7C2C68C8" w14:textId="77777777" w:rsidR="00E85DBC" w:rsidRDefault="00E85DBC" w:rsidP="003B5BA1">
      <w:pPr>
        <w:rPr>
          <w:rStyle w:val="Hyperlink"/>
          <w:sz w:val="20"/>
          <w:szCs w:val="20"/>
        </w:rPr>
      </w:pPr>
      <w:r>
        <w:rPr>
          <w:sz w:val="20"/>
          <w:szCs w:val="20"/>
        </w:rPr>
        <w:t>Samarajiva, R.</w:t>
      </w:r>
      <w:r w:rsidRPr="000F697B">
        <w:rPr>
          <w:sz w:val="20"/>
          <w:szCs w:val="20"/>
        </w:rPr>
        <w:t xml:space="preserve"> (2010).  </w:t>
      </w:r>
      <w:r w:rsidRPr="000F697B">
        <w:rPr>
          <w:sz w:val="20"/>
          <w:szCs w:val="20"/>
          <w:lang w:val="en-CA"/>
        </w:rPr>
        <w:t xml:space="preserve">Leveraging the budget telecom network business model to bring broadband to the people, </w:t>
      </w:r>
      <w:r w:rsidRPr="000F697B">
        <w:rPr>
          <w:i/>
          <w:sz w:val="20"/>
          <w:szCs w:val="20"/>
          <w:lang w:val="en-CA"/>
        </w:rPr>
        <w:t>Information Technology and International Development</w:t>
      </w:r>
      <w:r w:rsidRPr="000F697B">
        <w:rPr>
          <w:sz w:val="20"/>
          <w:szCs w:val="20"/>
          <w:lang w:val="en-CA"/>
        </w:rPr>
        <w:t xml:space="preserve">, 6, special edition:  93-97.  </w:t>
      </w:r>
      <w:hyperlink r:id="rId22" w:history="1">
        <w:r w:rsidRPr="000F697B">
          <w:rPr>
            <w:rStyle w:val="Hyperlink"/>
            <w:sz w:val="20"/>
            <w:szCs w:val="20"/>
          </w:rPr>
          <w:t>http://itidjournal.org/itid/article/view/630/270</w:t>
        </w:r>
      </w:hyperlink>
    </w:p>
    <w:p w14:paraId="4EBCCC52" w14:textId="77777777" w:rsidR="00E85DBC" w:rsidRDefault="00E85DBC" w:rsidP="003C5488">
      <w:pPr>
        <w:rPr>
          <w:rStyle w:val="Hyperlink"/>
          <w:color w:val="auto"/>
          <w:sz w:val="20"/>
          <w:szCs w:val="20"/>
          <w:u w:val="none"/>
        </w:rPr>
      </w:pPr>
      <w:r>
        <w:rPr>
          <w:rStyle w:val="Hyperlink"/>
          <w:color w:val="auto"/>
          <w:sz w:val="20"/>
          <w:szCs w:val="20"/>
          <w:u w:val="none"/>
        </w:rPr>
        <w:t>Samarajiva, R. (2017 March 17-18).  “</w:t>
      </w:r>
      <w:r w:rsidRPr="003C5488">
        <w:rPr>
          <w:rStyle w:val="Hyperlink"/>
          <w:color w:val="auto"/>
          <w:sz w:val="20"/>
          <w:szCs w:val="20"/>
          <w:u w:val="none"/>
        </w:rPr>
        <w:t>Communication policy in the age of Facebook</w:t>
      </w:r>
      <w:r>
        <w:rPr>
          <w:rStyle w:val="Hyperlink"/>
          <w:color w:val="auto"/>
          <w:sz w:val="20"/>
          <w:szCs w:val="20"/>
          <w:u w:val="none"/>
        </w:rPr>
        <w:t xml:space="preserve">,” </w:t>
      </w:r>
      <w:r w:rsidRPr="003C5488">
        <w:rPr>
          <w:rStyle w:val="Hyperlink"/>
          <w:color w:val="auto"/>
          <w:sz w:val="20"/>
          <w:szCs w:val="20"/>
          <w:u w:val="none"/>
        </w:rPr>
        <w:t xml:space="preserve">Keynote </w:t>
      </w:r>
      <w:r>
        <w:rPr>
          <w:rStyle w:val="Hyperlink"/>
          <w:color w:val="auto"/>
          <w:sz w:val="20"/>
          <w:szCs w:val="20"/>
          <w:u w:val="none"/>
        </w:rPr>
        <w:t xml:space="preserve">speech </w:t>
      </w:r>
      <w:r w:rsidRPr="003C5488">
        <w:rPr>
          <w:rStyle w:val="Hyperlink"/>
          <w:color w:val="auto"/>
          <w:sz w:val="20"/>
          <w:szCs w:val="20"/>
          <w:u w:val="none"/>
        </w:rPr>
        <w:t xml:space="preserve">at International Conference on "India's Communication Policy and Strategy," at </w:t>
      </w:r>
      <w:proofErr w:type="spellStart"/>
      <w:r w:rsidRPr="003C5488">
        <w:rPr>
          <w:rStyle w:val="Hyperlink"/>
          <w:color w:val="auto"/>
          <w:sz w:val="20"/>
          <w:szCs w:val="20"/>
          <w:u w:val="none"/>
        </w:rPr>
        <w:t>Manipal</w:t>
      </w:r>
      <w:proofErr w:type="spellEnd"/>
      <w:r w:rsidRPr="003C5488">
        <w:rPr>
          <w:rStyle w:val="Hyperlink"/>
          <w:color w:val="auto"/>
          <w:sz w:val="20"/>
          <w:szCs w:val="20"/>
          <w:u w:val="none"/>
        </w:rPr>
        <w:t xml:space="preserve"> University, Ka</w:t>
      </w:r>
      <w:r>
        <w:rPr>
          <w:rStyle w:val="Hyperlink"/>
          <w:color w:val="auto"/>
          <w:sz w:val="20"/>
          <w:szCs w:val="20"/>
          <w:u w:val="none"/>
        </w:rPr>
        <w:t xml:space="preserve">rnataka, India.  </w:t>
      </w:r>
      <w:hyperlink r:id="rId23" w:history="1">
        <w:r w:rsidRPr="006663A9">
          <w:rPr>
            <w:rStyle w:val="Hyperlink"/>
            <w:sz w:val="20"/>
            <w:szCs w:val="20"/>
          </w:rPr>
          <w:t>http://lirneasia.net/wp-content/uploads/2017/03/Comm-policy-in-the-age-of-Facebook.pdf</w:t>
        </w:r>
      </w:hyperlink>
      <w:r>
        <w:rPr>
          <w:rStyle w:val="Hyperlink"/>
          <w:color w:val="auto"/>
          <w:sz w:val="20"/>
          <w:szCs w:val="20"/>
          <w:u w:val="none"/>
        </w:rPr>
        <w:t xml:space="preserve"> </w:t>
      </w:r>
    </w:p>
    <w:p w14:paraId="3BF755CF" w14:textId="77777777" w:rsidR="00E85DBC" w:rsidRPr="003C5488" w:rsidRDefault="00E85DBC" w:rsidP="003C5488">
      <w:pPr>
        <w:rPr>
          <w:rStyle w:val="Hyperlink"/>
          <w:color w:val="auto"/>
          <w:sz w:val="20"/>
          <w:szCs w:val="20"/>
          <w:u w:val="none"/>
        </w:rPr>
      </w:pPr>
      <w:r>
        <w:rPr>
          <w:rStyle w:val="Hyperlink"/>
          <w:color w:val="auto"/>
          <w:sz w:val="20"/>
          <w:szCs w:val="20"/>
          <w:u w:val="none"/>
        </w:rPr>
        <w:t>Telecom Regulatory Authority of India (2017).  Consultation paper on data speed under wireless broadband plans.  Consultation Paper 6/</w:t>
      </w:r>
      <w:proofErr w:type="gramStart"/>
      <w:r>
        <w:rPr>
          <w:rStyle w:val="Hyperlink"/>
          <w:color w:val="auto"/>
          <w:sz w:val="20"/>
          <w:szCs w:val="20"/>
          <w:u w:val="none"/>
        </w:rPr>
        <w:t xml:space="preserve">2017  </w:t>
      </w:r>
      <w:proofErr w:type="gramEnd"/>
      <w:hyperlink r:id="rId24" w:history="1">
        <w:r w:rsidRPr="00965102">
          <w:rPr>
            <w:rStyle w:val="Hyperlink"/>
            <w:sz w:val="20"/>
            <w:szCs w:val="20"/>
          </w:rPr>
          <w:t>http://trai.gov.in/sites/default/files/CP_Data_speed_01062017.pdf</w:t>
        </w:r>
      </w:hyperlink>
      <w:r>
        <w:rPr>
          <w:rStyle w:val="Hyperlink"/>
          <w:color w:val="auto"/>
          <w:sz w:val="20"/>
          <w:szCs w:val="20"/>
          <w:u w:val="none"/>
        </w:rPr>
        <w:t xml:space="preserve"> </w:t>
      </w:r>
    </w:p>
    <w:p w14:paraId="1AA3AEE2" w14:textId="77777777" w:rsidR="00E85DBC" w:rsidRDefault="00E85DBC" w:rsidP="003B5BA1">
      <w:pPr>
        <w:rPr>
          <w:i/>
          <w:iCs/>
          <w:sz w:val="20"/>
          <w:szCs w:val="20"/>
        </w:rPr>
      </w:pPr>
      <w:r w:rsidRPr="00284676">
        <w:rPr>
          <w:sz w:val="20"/>
          <w:szCs w:val="20"/>
        </w:rPr>
        <w:t>UK Department of Culture, Media and Sport (2017)</w:t>
      </w:r>
      <w:r w:rsidRPr="00284676">
        <w:rPr>
          <w:i/>
          <w:iCs/>
          <w:sz w:val="20"/>
          <w:szCs w:val="20"/>
        </w:rPr>
        <w:t xml:space="preserve">.  UK digital strategy:  A policy paper.  </w:t>
      </w:r>
      <w:hyperlink r:id="rId25" w:history="1">
        <w:r w:rsidRPr="006663A9">
          <w:rPr>
            <w:rStyle w:val="Hyperlink"/>
            <w:sz w:val="20"/>
            <w:szCs w:val="20"/>
          </w:rPr>
          <w:t>https://www.gov.uk/government/publications/uk-digital-strategy</w:t>
        </w:r>
      </w:hyperlink>
      <w:r>
        <w:rPr>
          <w:sz w:val="20"/>
          <w:szCs w:val="20"/>
        </w:rPr>
        <w:t xml:space="preserve"> </w:t>
      </w:r>
    </w:p>
    <w:p w14:paraId="1478CEEC" w14:textId="77777777" w:rsidR="00E85DBC" w:rsidRDefault="00E85DBC" w:rsidP="003B5BA1">
      <w:pPr>
        <w:rPr>
          <w:sz w:val="20"/>
          <w:szCs w:val="20"/>
        </w:rPr>
      </w:pPr>
      <w:r w:rsidRPr="000F697B">
        <w:rPr>
          <w:i/>
          <w:iCs/>
          <w:sz w:val="20"/>
          <w:szCs w:val="20"/>
        </w:rPr>
        <w:t>United Nations E Government Survey 2014</w:t>
      </w:r>
      <w:r w:rsidRPr="000F697B">
        <w:rPr>
          <w:sz w:val="20"/>
          <w:szCs w:val="20"/>
        </w:rPr>
        <w:t xml:space="preserve">. </w:t>
      </w:r>
      <w:hyperlink r:id="rId26" w:history="1">
        <w:r w:rsidRPr="000F697B">
          <w:rPr>
            <w:rStyle w:val="Hyperlink"/>
            <w:sz w:val="20"/>
            <w:szCs w:val="20"/>
          </w:rPr>
          <w:t>http://unpan3.un.org/egovkb/Portals/egovkb/Documents/un/2014-Survey/E-Gov_Complete_Survey-2014.pdf</w:t>
        </w:r>
      </w:hyperlink>
      <w:r w:rsidRPr="000F697B">
        <w:rPr>
          <w:sz w:val="20"/>
          <w:szCs w:val="20"/>
        </w:rPr>
        <w:t xml:space="preserve"> </w:t>
      </w:r>
    </w:p>
    <w:p w14:paraId="79A6FDC3" w14:textId="77777777" w:rsidR="00E85DBC" w:rsidRPr="000F697B" w:rsidRDefault="00E85DBC" w:rsidP="003B5BA1">
      <w:pPr>
        <w:rPr>
          <w:sz w:val="20"/>
          <w:szCs w:val="20"/>
        </w:rPr>
      </w:pPr>
      <w:proofErr w:type="spellStart"/>
      <w:r>
        <w:rPr>
          <w:sz w:val="20"/>
          <w:szCs w:val="20"/>
        </w:rPr>
        <w:t>Waidyanatha</w:t>
      </w:r>
      <w:proofErr w:type="spellEnd"/>
      <w:r>
        <w:rPr>
          <w:sz w:val="20"/>
          <w:szCs w:val="20"/>
        </w:rPr>
        <w:t xml:space="preserve">, N. (2016).  </w:t>
      </w:r>
      <w:r w:rsidRPr="00C34EC3">
        <w:rPr>
          <w:i/>
          <w:iCs/>
          <w:sz w:val="20"/>
          <w:szCs w:val="20"/>
        </w:rPr>
        <w:t xml:space="preserve">2015 </w:t>
      </w:r>
      <w:proofErr w:type="spellStart"/>
      <w:r w:rsidRPr="00C34EC3">
        <w:rPr>
          <w:i/>
          <w:iCs/>
          <w:sz w:val="20"/>
          <w:szCs w:val="20"/>
        </w:rPr>
        <w:t>Gorkha</w:t>
      </w:r>
      <w:proofErr w:type="spellEnd"/>
      <w:r w:rsidRPr="00C34EC3">
        <w:rPr>
          <w:i/>
          <w:iCs/>
          <w:sz w:val="20"/>
          <w:szCs w:val="20"/>
        </w:rPr>
        <w:t xml:space="preserve"> earthquake:  Evaluation of Nepal’s emergency communication systems</w:t>
      </w:r>
      <w:r>
        <w:rPr>
          <w:sz w:val="20"/>
          <w:szCs w:val="20"/>
        </w:rPr>
        <w:t xml:space="preserve">.  Colombo and Kathmandu:  LIRNEasia and ISOC Nepal.  </w:t>
      </w:r>
      <w:hyperlink r:id="rId27" w:history="1">
        <w:r w:rsidRPr="00965102">
          <w:rPr>
            <w:rStyle w:val="Hyperlink"/>
            <w:sz w:val="20"/>
            <w:szCs w:val="20"/>
          </w:rPr>
          <w:t>http://lirneasia.net/wp-content/uploads/2016/04/Nepal_Report_on_Emergency_Communications_v1.0.pdf</w:t>
        </w:r>
      </w:hyperlink>
      <w:r>
        <w:rPr>
          <w:sz w:val="20"/>
          <w:szCs w:val="20"/>
        </w:rPr>
        <w:t xml:space="preserve"> </w:t>
      </w:r>
    </w:p>
    <w:sectPr w:rsidR="00E85DBC" w:rsidRPr="000F697B" w:rsidSect="00CE1704">
      <w:footerReference w:type="default" r:id="rId28"/>
      <w:footerReference w:type="firs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F0770" w14:textId="77777777" w:rsidR="0003597F" w:rsidRDefault="0003597F" w:rsidP="00940F2C">
      <w:pPr>
        <w:spacing w:after="0" w:line="240" w:lineRule="auto"/>
      </w:pPr>
      <w:r>
        <w:separator/>
      </w:r>
    </w:p>
  </w:endnote>
  <w:endnote w:type="continuationSeparator" w:id="0">
    <w:p w14:paraId="664B2AA1" w14:textId="77777777" w:rsidR="0003597F" w:rsidRDefault="0003597F" w:rsidP="0094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Iskoola Pota">
    <w:charset w:val="00"/>
    <w:family w:val="swiss"/>
    <w:pitch w:val="variable"/>
    <w:sig w:usb0="00000003" w:usb1="00000000" w:usb2="000002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Nirmala UI">
    <w:altName w:val="Athelas Italic"/>
    <w:charset w:val="00"/>
    <w:family w:val="swiss"/>
    <w:pitch w:val="variable"/>
    <w:sig w:usb0="80FF8023" w:usb1="0000004A" w:usb2="000002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848607"/>
      <w:docPartObj>
        <w:docPartGallery w:val="Page Numbers (Bottom of Page)"/>
        <w:docPartUnique/>
      </w:docPartObj>
    </w:sdtPr>
    <w:sdtEndPr>
      <w:rPr>
        <w:noProof/>
      </w:rPr>
    </w:sdtEndPr>
    <w:sdtContent>
      <w:p w14:paraId="2060C524" w14:textId="77777777" w:rsidR="007C20AC" w:rsidRDefault="007C20AC">
        <w:pPr>
          <w:pStyle w:val="Footer"/>
          <w:jc w:val="right"/>
        </w:pPr>
        <w:r>
          <w:fldChar w:fldCharType="begin"/>
        </w:r>
        <w:r>
          <w:instrText xml:space="preserve"> PAGE   \* MERGEFORMAT </w:instrText>
        </w:r>
        <w:r>
          <w:fldChar w:fldCharType="separate"/>
        </w:r>
        <w:r w:rsidR="00CD2715">
          <w:rPr>
            <w:noProof/>
          </w:rPr>
          <w:t>9</w:t>
        </w:r>
        <w:r>
          <w:rPr>
            <w:noProof/>
          </w:rPr>
          <w:fldChar w:fldCharType="end"/>
        </w:r>
      </w:p>
    </w:sdtContent>
  </w:sdt>
  <w:p w14:paraId="3B77C461" w14:textId="77777777" w:rsidR="007C20AC" w:rsidRDefault="007C20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421177"/>
      <w:docPartObj>
        <w:docPartGallery w:val="Page Numbers (Bottom of Page)"/>
        <w:docPartUnique/>
      </w:docPartObj>
    </w:sdtPr>
    <w:sdtEndPr>
      <w:rPr>
        <w:noProof/>
      </w:rPr>
    </w:sdtEndPr>
    <w:sdtContent>
      <w:p w14:paraId="5C609839" w14:textId="77777777" w:rsidR="00CE1704" w:rsidRDefault="00CE170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0BCA40B" w14:textId="77777777" w:rsidR="00CE1704" w:rsidRDefault="00CE17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B8210" w14:textId="77777777" w:rsidR="0003597F" w:rsidRDefault="0003597F" w:rsidP="00940F2C">
      <w:pPr>
        <w:spacing w:after="0" w:line="240" w:lineRule="auto"/>
      </w:pPr>
      <w:r>
        <w:separator/>
      </w:r>
    </w:p>
  </w:footnote>
  <w:footnote w:type="continuationSeparator" w:id="0">
    <w:p w14:paraId="2C90551A" w14:textId="77777777" w:rsidR="0003597F" w:rsidRDefault="0003597F" w:rsidP="00940F2C">
      <w:pPr>
        <w:spacing w:after="0" w:line="240" w:lineRule="auto"/>
      </w:pPr>
      <w:r>
        <w:continuationSeparator/>
      </w:r>
    </w:p>
  </w:footnote>
  <w:footnote w:id="1">
    <w:p w14:paraId="379B8030" w14:textId="6856902E" w:rsidR="002158F6" w:rsidRDefault="002158F6">
      <w:pPr>
        <w:pStyle w:val="FootnoteText"/>
      </w:pPr>
      <w:r>
        <w:rPr>
          <w:rStyle w:val="FootnoteReference"/>
        </w:rPr>
        <w:footnoteRef/>
      </w:r>
      <w:r>
        <w:rPr>
          <w:rStyle w:val="FootnoteReference"/>
        </w:rPr>
        <w:footnoteRef/>
      </w:r>
      <w:r>
        <w:t xml:space="preserve"> S14 will be a 75 minute session, commencing at 1100 and concluding at 1215.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55E9"/>
    <w:multiLevelType w:val="hybridMultilevel"/>
    <w:tmpl w:val="DBB696BC"/>
    <w:lvl w:ilvl="0" w:tplc="D48211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AB5E43"/>
    <w:multiLevelType w:val="hybridMultilevel"/>
    <w:tmpl w:val="1BEEDCD2"/>
    <w:lvl w:ilvl="0" w:tplc="D482111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E35A73"/>
    <w:multiLevelType w:val="multilevel"/>
    <w:tmpl w:val="7586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F104A"/>
    <w:multiLevelType w:val="hybridMultilevel"/>
    <w:tmpl w:val="09B6D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4C07911"/>
    <w:multiLevelType w:val="hybridMultilevel"/>
    <w:tmpl w:val="09B6D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88"/>
    <w:rsid w:val="000076C6"/>
    <w:rsid w:val="00031C6E"/>
    <w:rsid w:val="00034CA9"/>
    <w:rsid w:val="0003597F"/>
    <w:rsid w:val="0004726D"/>
    <w:rsid w:val="00051D13"/>
    <w:rsid w:val="00054771"/>
    <w:rsid w:val="0006044B"/>
    <w:rsid w:val="00071582"/>
    <w:rsid w:val="00071727"/>
    <w:rsid w:val="0007342E"/>
    <w:rsid w:val="00082127"/>
    <w:rsid w:val="00090E9B"/>
    <w:rsid w:val="00091FE4"/>
    <w:rsid w:val="00096E24"/>
    <w:rsid w:val="000A1531"/>
    <w:rsid w:val="000A7CAF"/>
    <w:rsid w:val="000B2A46"/>
    <w:rsid w:val="000C032C"/>
    <w:rsid w:val="000C076D"/>
    <w:rsid w:val="000C36D6"/>
    <w:rsid w:val="000C3FED"/>
    <w:rsid w:val="000C776C"/>
    <w:rsid w:val="000D02D3"/>
    <w:rsid w:val="000E0FBF"/>
    <w:rsid w:val="000F09D4"/>
    <w:rsid w:val="000F16FB"/>
    <w:rsid w:val="000F421A"/>
    <w:rsid w:val="000F697B"/>
    <w:rsid w:val="001042D6"/>
    <w:rsid w:val="00110300"/>
    <w:rsid w:val="00111D1D"/>
    <w:rsid w:val="001156F3"/>
    <w:rsid w:val="00131DE8"/>
    <w:rsid w:val="00131E1F"/>
    <w:rsid w:val="001362DC"/>
    <w:rsid w:val="0015066B"/>
    <w:rsid w:val="001506B6"/>
    <w:rsid w:val="00153593"/>
    <w:rsid w:val="0015586A"/>
    <w:rsid w:val="001624E9"/>
    <w:rsid w:val="00164657"/>
    <w:rsid w:val="001657B4"/>
    <w:rsid w:val="00167CBE"/>
    <w:rsid w:val="00167F57"/>
    <w:rsid w:val="00172CEB"/>
    <w:rsid w:val="00181E90"/>
    <w:rsid w:val="001956A1"/>
    <w:rsid w:val="001A7511"/>
    <w:rsid w:val="001B4533"/>
    <w:rsid w:val="001C17EC"/>
    <w:rsid w:val="001C5294"/>
    <w:rsid w:val="001F7E8A"/>
    <w:rsid w:val="002158F6"/>
    <w:rsid w:val="002231DD"/>
    <w:rsid w:val="00240404"/>
    <w:rsid w:val="002404C3"/>
    <w:rsid w:val="00246FC3"/>
    <w:rsid w:val="002522BD"/>
    <w:rsid w:val="00263C3C"/>
    <w:rsid w:val="00265E08"/>
    <w:rsid w:val="002725EB"/>
    <w:rsid w:val="002756C5"/>
    <w:rsid w:val="002769C7"/>
    <w:rsid w:val="00280A47"/>
    <w:rsid w:val="00284676"/>
    <w:rsid w:val="002A1289"/>
    <w:rsid w:val="002A146B"/>
    <w:rsid w:val="002B6496"/>
    <w:rsid w:val="002B78E2"/>
    <w:rsid w:val="002D4E1C"/>
    <w:rsid w:val="002D72B6"/>
    <w:rsid w:val="002D7954"/>
    <w:rsid w:val="002F25F3"/>
    <w:rsid w:val="002F293D"/>
    <w:rsid w:val="002F4330"/>
    <w:rsid w:val="002F5DB5"/>
    <w:rsid w:val="003346D9"/>
    <w:rsid w:val="00356F72"/>
    <w:rsid w:val="003800C0"/>
    <w:rsid w:val="00381C30"/>
    <w:rsid w:val="00383349"/>
    <w:rsid w:val="00392482"/>
    <w:rsid w:val="00396E18"/>
    <w:rsid w:val="003A5611"/>
    <w:rsid w:val="003A68E7"/>
    <w:rsid w:val="003B1CDC"/>
    <w:rsid w:val="003B47C6"/>
    <w:rsid w:val="003B59A5"/>
    <w:rsid w:val="003B5BA1"/>
    <w:rsid w:val="003C5488"/>
    <w:rsid w:val="003D615C"/>
    <w:rsid w:val="003E1E69"/>
    <w:rsid w:val="003E367E"/>
    <w:rsid w:val="003F19B8"/>
    <w:rsid w:val="00421303"/>
    <w:rsid w:val="00423564"/>
    <w:rsid w:val="004342DC"/>
    <w:rsid w:val="00450468"/>
    <w:rsid w:val="00456F85"/>
    <w:rsid w:val="00457531"/>
    <w:rsid w:val="004700F8"/>
    <w:rsid w:val="00473A2C"/>
    <w:rsid w:val="004760C0"/>
    <w:rsid w:val="004808D2"/>
    <w:rsid w:val="00481B48"/>
    <w:rsid w:val="0048622D"/>
    <w:rsid w:val="00493F20"/>
    <w:rsid w:val="004B1C03"/>
    <w:rsid w:val="004C09D1"/>
    <w:rsid w:val="004C1FAE"/>
    <w:rsid w:val="004C343C"/>
    <w:rsid w:val="004C3B40"/>
    <w:rsid w:val="004C74D0"/>
    <w:rsid w:val="004D0FE0"/>
    <w:rsid w:val="004F5EC6"/>
    <w:rsid w:val="005043AC"/>
    <w:rsid w:val="00512FD8"/>
    <w:rsid w:val="005131E6"/>
    <w:rsid w:val="005134CC"/>
    <w:rsid w:val="00516CC0"/>
    <w:rsid w:val="00543D71"/>
    <w:rsid w:val="005529CA"/>
    <w:rsid w:val="0055603C"/>
    <w:rsid w:val="0055613B"/>
    <w:rsid w:val="00567787"/>
    <w:rsid w:val="005701B2"/>
    <w:rsid w:val="00574F12"/>
    <w:rsid w:val="00581661"/>
    <w:rsid w:val="005842FE"/>
    <w:rsid w:val="0059261F"/>
    <w:rsid w:val="00593574"/>
    <w:rsid w:val="00595DBD"/>
    <w:rsid w:val="00596159"/>
    <w:rsid w:val="0059772E"/>
    <w:rsid w:val="00597A5B"/>
    <w:rsid w:val="005A70DB"/>
    <w:rsid w:val="005B3E6C"/>
    <w:rsid w:val="005C283C"/>
    <w:rsid w:val="005E457F"/>
    <w:rsid w:val="00603B0D"/>
    <w:rsid w:val="00612E8D"/>
    <w:rsid w:val="00622B0A"/>
    <w:rsid w:val="00643192"/>
    <w:rsid w:val="00662ECB"/>
    <w:rsid w:val="006875D9"/>
    <w:rsid w:val="0069192E"/>
    <w:rsid w:val="00694242"/>
    <w:rsid w:val="006A0FCC"/>
    <w:rsid w:val="006A65C1"/>
    <w:rsid w:val="006A7611"/>
    <w:rsid w:val="006B5C6D"/>
    <w:rsid w:val="006B5F22"/>
    <w:rsid w:val="006C0F64"/>
    <w:rsid w:val="006D2860"/>
    <w:rsid w:val="006D448D"/>
    <w:rsid w:val="006D69A8"/>
    <w:rsid w:val="006D745E"/>
    <w:rsid w:val="006F46FD"/>
    <w:rsid w:val="006F74DE"/>
    <w:rsid w:val="0070299D"/>
    <w:rsid w:val="00706B0A"/>
    <w:rsid w:val="007248E9"/>
    <w:rsid w:val="007260A1"/>
    <w:rsid w:val="007321F4"/>
    <w:rsid w:val="0073300D"/>
    <w:rsid w:val="00733E01"/>
    <w:rsid w:val="00736F0B"/>
    <w:rsid w:val="00740B8F"/>
    <w:rsid w:val="00743C12"/>
    <w:rsid w:val="00754658"/>
    <w:rsid w:val="007919F4"/>
    <w:rsid w:val="007B2473"/>
    <w:rsid w:val="007C1AB5"/>
    <w:rsid w:val="007C20AC"/>
    <w:rsid w:val="007D0B73"/>
    <w:rsid w:val="007D3BC9"/>
    <w:rsid w:val="007E74D8"/>
    <w:rsid w:val="007F1DA5"/>
    <w:rsid w:val="008009AC"/>
    <w:rsid w:val="00810CA0"/>
    <w:rsid w:val="008148D6"/>
    <w:rsid w:val="0083101C"/>
    <w:rsid w:val="00832975"/>
    <w:rsid w:val="0083798C"/>
    <w:rsid w:val="008515A5"/>
    <w:rsid w:val="00887542"/>
    <w:rsid w:val="00891192"/>
    <w:rsid w:val="008A4444"/>
    <w:rsid w:val="008A470F"/>
    <w:rsid w:val="008B01E2"/>
    <w:rsid w:val="008B798C"/>
    <w:rsid w:val="008C6A84"/>
    <w:rsid w:val="008F20A5"/>
    <w:rsid w:val="009007FC"/>
    <w:rsid w:val="0091566A"/>
    <w:rsid w:val="0092088F"/>
    <w:rsid w:val="0092236D"/>
    <w:rsid w:val="009310C0"/>
    <w:rsid w:val="00931417"/>
    <w:rsid w:val="00940BA2"/>
    <w:rsid w:val="00940F2C"/>
    <w:rsid w:val="009428DB"/>
    <w:rsid w:val="00943C72"/>
    <w:rsid w:val="00945E40"/>
    <w:rsid w:val="00954569"/>
    <w:rsid w:val="009550CC"/>
    <w:rsid w:val="00967E62"/>
    <w:rsid w:val="00971BE6"/>
    <w:rsid w:val="00973CC5"/>
    <w:rsid w:val="0098162E"/>
    <w:rsid w:val="009841F1"/>
    <w:rsid w:val="0099258E"/>
    <w:rsid w:val="009A6656"/>
    <w:rsid w:val="009B43B6"/>
    <w:rsid w:val="009B441E"/>
    <w:rsid w:val="009E1AF9"/>
    <w:rsid w:val="009F5EA0"/>
    <w:rsid w:val="009F657A"/>
    <w:rsid w:val="00A56788"/>
    <w:rsid w:val="00A64023"/>
    <w:rsid w:val="00A73182"/>
    <w:rsid w:val="00A774C1"/>
    <w:rsid w:val="00A77A6B"/>
    <w:rsid w:val="00A833E6"/>
    <w:rsid w:val="00A94809"/>
    <w:rsid w:val="00A9552A"/>
    <w:rsid w:val="00AA02CB"/>
    <w:rsid w:val="00AA0D8C"/>
    <w:rsid w:val="00AD09AD"/>
    <w:rsid w:val="00AD1666"/>
    <w:rsid w:val="00AD4684"/>
    <w:rsid w:val="00AD7AE0"/>
    <w:rsid w:val="00AF6EEA"/>
    <w:rsid w:val="00B05BB5"/>
    <w:rsid w:val="00B17E9B"/>
    <w:rsid w:val="00B2167C"/>
    <w:rsid w:val="00B21C03"/>
    <w:rsid w:val="00B25A2C"/>
    <w:rsid w:val="00B36F7F"/>
    <w:rsid w:val="00B41094"/>
    <w:rsid w:val="00B50A59"/>
    <w:rsid w:val="00B57756"/>
    <w:rsid w:val="00B626BE"/>
    <w:rsid w:val="00B63B0C"/>
    <w:rsid w:val="00B667D2"/>
    <w:rsid w:val="00B87439"/>
    <w:rsid w:val="00B94DF5"/>
    <w:rsid w:val="00BA4A4F"/>
    <w:rsid w:val="00BA5F54"/>
    <w:rsid w:val="00BB6078"/>
    <w:rsid w:val="00BC2BF2"/>
    <w:rsid w:val="00BC38B7"/>
    <w:rsid w:val="00BD3727"/>
    <w:rsid w:val="00BF1792"/>
    <w:rsid w:val="00C2274A"/>
    <w:rsid w:val="00C24B91"/>
    <w:rsid w:val="00C324DD"/>
    <w:rsid w:val="00C3302E"/>
    <w:rsid w:val="00C34A5D"/>
    <w:rsid w:val="00C34EC3"/>
    <w:rsid w:val="00C42BDD"/>
    <w:rsid w:val="00C52177"/>
    <w:rsid w:val="00C537DC"/>
    <w:rsid w:val="00C71D0F"/>
    <w:rsid w:val="00C8366B"/>
    <w:rsid w:val="00C97C13"/>
    <w:rsid w:val="00CB0C76"/>
    <w:rsid w:val="00CC12E7"/>
    <w:rsid w:val="00CD0A63"/>
    <w:rsid w:val="00CD2715"/>
    <w:rsid w:val="00CE1704"/>
    <w:rsid w:val="00CE6C12"/>
    <w:rsid w:val="00CE789D"/>
    <w:rsid w:val="00CF7D28"/>
    <w:rsid w:val="00D147CF"/>
    <w:rsid w:val="00D17371"/>
    <w:rsid w:val="00D204B5"/>
    <w:rsid w:val="00D22D30"/>
    <w:rsid w:val="00D30EE5"/>
    <w:rsid w:val="00D422B4"/>
    <w:rsid w:val="00D47409"/>
    <w:rsid w:val="00D47AE4"/>
    <w:rsid w:val="00D53DFD"/>
    <w:rsid w:val="00D60EA0"/>
    <w:rsid w:val="00D62115"/>
    <w:rsid w:val="00D660A0"/>
    <w:rsid w:val="00D67453"/>
    <w:rsid w:val="00D73F78"/>
    <w:rsid w:val="00D80C6A"/>
    <w:rsid w:val="00D83CE6"/>
    <w:rsid w:val="00D87BDD"/>
    <w:rsid w:val="00DA5569"/>
    <w:rsid w:val="00DC3BFB"/>
    <w:rsid w:val="00DC6184"/>
    <w:rsid w:val="00DC696A"/>
    <w:rsid w:val="00DD691D"/>
    <w:rsid w:val="00DE1FD0"/>
    <w:rsid w:val="00DE35BE"/>
    <w:rsid w:val="00DE791C"/>
    <w:rsid w:val="00DF57FD"/>
    <w:rsid w:val="00E018CE"/>
    <w:rsid w:val="00E07C61"/>
    <w:rsid w:val="00E22B2C"/>
    <w:rsid w:val="00E37CD2"/>
    <w:rsid w:val="00E4193C"/>
    <w:rsid w:val="00E47BA2"/>
    <w:rsid w:val="00E532DC"/>
    <w:rsid w:val="00E57298"/>
    <w:rsid w:val="00E6064A"/>
    <w:rsid w:val="00E7141B"/>
    <w:rsid w:val="00E80D50"/>
    <w:rsid w:val="00E80E10"/>
    <w:rsid w:val="00E85DBC"/>
    <w:rsid w:val="00E95F3D"/>
    <w:rsid w:val="00EA54E2"/>
    <w:rsid w:val="00EA7ECF"/>
    <w:rsid w:val="00EB2F5F"/>
    <w:rsid w:val="00EB5BAF"/>
    <w:rsid w:val="00EC0CB6"/>
    <w:rsid w:val="00ED4BF9"/>
    <w:rsid w:val="00EE7770"/>
    <w:rsid w:val="00EF431C"/>
    <w:rsid w:val="00F0204B"/>
    <w:rsid w:val="00F0504D"/>
    <w:rsid w:val="00F06651"/>
    <w:rsid w:val="00F1257B"/>
    <w:rsid w:val="00F16331"/>
    <w:rsid w:val="00F27B67"/>
    <w:rsid w:val="00F3631D"/>
    <w:rsid w:val="00F46652"/>
    <w:rsid w:val="00F543B8"/>
    <w:rsid w:val="00F5688C"/>
    <w:rsid w:val="00F600E9"/>
    <w:rsid w:val="00F7268C"/>
    <w:rsid w:val="00F84DA9"/>
    <w:rsid w:val="00F909E0"/>
    <w:rsid w:val="00F94485"/>
    <w:rsid w:val="00FB0251"/>
    <w:rsid w:val="00FC6A36"/>
    <w:rsid w:val="00FC6D41"/>
    <w:rsid w:val="00FD28BE"/>
    <w:rsid w:val="00FD3F2F"/>
    <w:rsid w:val="00FE245E"/>
    <w:rsid w:val="00FE79BD"/>
    <w:rsid w:val="00FF69AD"/>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B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A2"/>
  </w:style>
  <w:style w:type="paragraph" w:styleId="Heading1">
    <w:name w:val="heading 1"/>
    <w:basedOn w:val="Normal"/>
    <w:next w:val="Normal"/>
    <w:link w:val="Heading1Char"/>
    <w:uiPriority w:val="9"/>
    <w:qFormat/>
    <w:rsid w:val="00E53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7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56788"/>
    <w:pPr>
      <w:spacing w:after="0" w:line="240" w:lineRule="auto"/>
      <w:jc w:val="both"/>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3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532DC"/>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E532DC"/>
    <w:pPr>
      <w:spacing w:after="0" w:line="240" w:lineRule="auto"/>
      <w:ind w:left="720"/>
      <w:contextualSpacing/>
      <w:jc w:val="both"/>
    </w:pPr>
    <w:rPr>
      <w:lang w:bidi="ar-SA"/>
    </w:rPr>
  </w:style>
  <w:style w:type="character" w:styleId="Hyperlink">
    <w:name w:val="Hyperlink"/>
    <w:basedOn w:val="DefaultParagraphFont"/>
    <w:uiPriority w:val="99"/>
    <w:unhideWhenUsed/>
    <w:rsid w:val="0092236D"/>
    <w:rPr>
      <w:color w:val="0000FF"/>
      <w:u w:val="single"/>
    </w:rPr>
  </w:style>
  <w:style w:type="paragraph" w:styleId="Header">
    <w:name w:val="header"/>
    <w:basedOn w:val="Normal"/>
    <w:link w:val="HeaderChar"/>
    <w:uiPriority w:val="99"/>
    <w:unhideWhenUsed/>
    <w:rsid w:val="0094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C"/>
  </w:style>
  <w:style w:type="paragraph" w:styleId="Footer">
    <w:name w:val="footer"/>
    <w:basedOn w:val="Normal"/>
    <w:link w:val="FooterChar"/>
    <w:uiPriority w:val="99"/>
    <w:unhideWhenUsed/>
    <w:rsid w:val="0094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C"/>
  </w:style>
  <w:style w:type="character" w:styleId="CommentReference">
    <w:name w:val="annotation reference"/>
    <w:basedOn w:val="DefaultParagraphFont"/>
    <w:uiPriority w:val="99"/>
    <w:semiHidden/>
    <w:unhideWhenUsed/>
    <w:rsid w:val="00954569"/>
    <w:rPr>
      <w:sz w:val="16"/>
      <w:szCs w:val="16"/>
    </w:rPr>
  </w:style>
  <w:style w:type="paragraph" w:styleId="CommentText">
    <w:name w:val="annotation text"/>
    <w:basedOn w:val="Normal"/>
    <w:link w:val="CommentTextChar"/>
    <w:uiPriority w:val="99"/>
    <w:semiHidden/>
    <w:unhideWhenUsed/>
    <w:rsid w:val="00954569"/>
    <w:pPr>
      <w:spacing w:line="240" w:lineRule="auto"/>
    </w:pPr>
    <w:rPr>
      <w:sz w:val="20"/>
      <w:szCs w:val="20"/>
    </w:rPr>
  </w:style>
  <w:style w:type="character" w:customStyle="1" w:styleId="CommentTextChar">
    <w:name w:val="Comment Text Char"/>
    <w:basedOn w:val="DefaultParagraphFont"/>
    <w:link w:val="CommentText"/>
    <w:uiPriority w:val="99"/>
    <w:semiHidden/>
    <w:rsid w:val="00954569"/>
    <w:rPr>
      <w:sz w:val="20"/>
      <w:szCs w:val="20"/>
    </w:rPr>
  </w:style>
  <w:style w:type="paragraph" w:styleId="CommentSubject">
    <w:name w:val="annotation subject"/>
    <w:basedOn w:val="CommentText"/>
    <w:next w:val="CommentText"/>
    <w:link w:val="CommentSubjectChar"/>
    <w:uiPriority w:val="99"/>
    <w:semiHidden/>
    <w:unhideWhenUsed/>
    <w:rsid w:val="00954569"/>
    <w:rPr>
      <w:b/>
      <w:bCs/>
    </w:rPr>
  </w:style>
  <w:style w:type="character" w:customStyle="1" w:styleId="CommentSubjectChar">
    <w:name w:val="Comment Subject Char"/>
    <w:basedOn w:val="CommentTextChar"/>
    <w:link w:val="CommentSubject"/>
    <w:uiPriority w:val="99"/>
    <w:semiHidden/>
    <w:rsid w:val="00954569"/>
    <w:rPr>
      <w:b/>
      <w:bCs/>
      <w:sz w:val="20"/>
      <w:szCs w:val="20"/>
    </w:rPr>
  </w:style>
  <w:style w:type="paragraph" w:styleId="BalloonText">
    <w:name w:val="Balloon Text"/>
    <w:basedOn w:val="Normal"/>
    <w:link w:val="BalloonTextChar"/>
    <w:uiPriority w:val="99"/>
    <w:semiHidden/>
    <w:unhideWhenUsed/>
    <w:rsid w:val="009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69"/>
    <w:rPr>
      <w:rFonts w:ascii="Tahoma" w:hAnsi="Tahoma" w:cs="Tahoma"/>
      <w:sz w:val="16"/>
      <w:szCs w:val="16"/>
    </w:rPr>
  </w:style>
  <w:style w:type="paragraph" w:styleId="NormalWeb">
    <w:name w:val="Normal (Web)"/>
    <w:basedOn w:val="Normal"/>
    <w:uiPriority w:val="99"/>
    <w:rsid w:val="009428DB"/>
    <w:pPr>
      <w:spacing w:after="100" w:afterAutospacing="1" w:line="240" w:lineRule="auto"/>
    </w:pPr>
    <w:rPr>
      <w:rFonts w:ascii="Arial" w:eastAsia="Times New Roman" w:hAnsi="Arial" w:cs="Arial"/>
      <w:color w:val="333333"/>
      <w:sz w:val="18"/>
      <w:szCs w:val="18"/>
      <w:lang w:bidi="ar-SA"/>
    </w:rPr>
  </w:style>
  <w:style w:type="character" w:styleId="Emphasis">
    <w:name w:val="Emphasis"/>
    <w:uiPriority w:val="20"/>
    <w:qFormat/>
    <w:rsid w:val="009428DB"/>
    <w:rPr>
      <w:i/>
      <w:iCs/>
    </w:rPr>
  </w:style>
  <w:style w:type="paragraph" w:customStyle="1" w:styleId="Default">
    <w:name w:val="Default"/>
    <w:rsid w:val="009428DB"/>
    <w:pPr>
      <w:autoSpaceDE w:val="0"/>
      <w:autoSpaceDN w:val="0"/>
      <w:adjustRightInd w:val="0"/>
      <w:spacing w:after="0" w:line="240" w:lineRule="auto"/>
    </w:pPr>
    <w:rPr>
      <w:rFonts w:ascii="Symbol" w:hAnsi="Symbol" w:cs="Symbol"/>
      <w:color w:val="000000"/>
      <w:sz w:val="24"/>
      <w:szCs w:val="24"/>
      <w:lang w:bidi="ar-SA"/>
    </w:rPr>
  </w:style>
  <w:style w:type="character" w:styleId="Strong">
    <w:name w:val="Strong"/>
    <w:basedOn w:val="DefaultParagraphFont"/>
    <w:uiPriority w:val="22"/>
    <w:qFormat/>
    <w:rsid w:val="00C34A5D"/>
    <w:rPr>
      <w:b/>
      <w:bCs/>
    </w:rPr>
  </w:style>
  <w:style w:type="character" w:customStyle="1" w:styleId="apple-converted-space">
    <w:name w:val="apple-converted-space"/>
    <w:basedOn w:val="DefaultParagraphFont"/>
    <w:rsid w:val="00810CA0"/>
  </w:style>
  <w:style w:type="paragraph" w:styleId="FootnoteText">
    <w:name w:val="footnote text"/>
    <w:basedOn w:val="Normal"/>
    <w:link w:val="FootnoteTextChar"/>
    <w:uiPriority w:val="99"/>
    <w:semiHidden/>
    <w:unhideWhenUsed/>
    <w:rsid w:val="0059615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96159"/>
    <w:rPr>
      <w:rFonts w:eastAsiaTheme="minorEastAsia"/>
      <w:sz w:val="20"/>
      <w:szCs w:val="20"/>
    </w:rPr>
  </w:style>
  <w:style w:type="character" w:styleId="FootnoteReference">
    <w:name w:val="footnote reference"/>
    <w:basedOn w:val="DefaultParagraphFont"/>
    <w:uiPriority w:val="99"/>
    <w:semiHidden/>
    <w:unhideWhenUsed/>
    <w:rsid w:val="00596159"/>
    <w:rPr>
      <w:vertAlign w:val="superscript"/>
    </w:rPr>
  </w:style>
  <w:style w:type="character" w:styleId="FollowedHyperlink">
    <w:name w:val="FollowedHyperlink"/>
    <w:basedOn w:val="DefaultParagraphFont"/>
    <w:uiPriority w:val="99"/>
    <w:semiHidden/>
    <w:unhideWhenUsed/>
    <w:rsid w:val="008515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A2"/>
  </w:style>
  <w:style w:type="paragraph" w:styleId="Heading1">
    <w:name w:val="heading 1"/>
    <w:basedOn w:val="Normal"/>
    <w:next w:val="Normal"/>
    <w:link w:val="Heading1Char"/>
    <w:uiPriority w:val="9"/>
    <w:qFormat/>
    <w:rsid w:val="00E532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67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788"/>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56788"/>
    <w:pPr>
      <w:spacing w:after="0" w:line="240" w:lineRule="auto"/>
      <w:jc w:val="both"/>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2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53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E532DC"/>
    <w:rPr>
      <w:rFonts w:asciiTheme="majorHAnsi" w:eastAsiaTheme="majorEastAsia" w:hAnsiTheme="majorHAnsi" w:cstheme="majorBidi"/>
      <w:color w:val="17365D" w:themeColor="text2" w:themeShade="BF"/>
      <w:spacing w:val="5"/>
      <w:kern w:val="28"/>
      <w:sz w:val="52"/>
      <w:szCs w:val="52"/>
      <w:lang w:bidi="ar-SA"/>
    </w:rPr>
  </w:style>
  <w:style w:type="paragraph" w:styleId="ListParagraph">
    <w:name w:val="List Paragraph"/>
    <w:basedOn w:val="Normal"/>
    <w:uiPriority w:val="34"/>
    <w:qFormat/>
    <w:rsid w:val="00E532DC"/>
    <w:pPr>
      <w:spacing w:after="0" w:line="240" w:lineRule="auto"/>
      <w:ind w:left="720"/>
      <w:contextualSpacing/>
      <w:jc w:val="both"/>
    </w:pPr>
    <w:rPr>
      <w:lang w:bidi="ar-SA"/>
    </w:rPr>
  </w:style>
  <w:style w:type="character" w:styleId="Hyperlink">
    <w:name w:val="Hyperlink"/>
    <w:basedOn w:val="DefaultParagraphFont"/>
    <w:uiPriority w:val="99"/>
    <w:unhideWhenUsed/>
    <w:rsid w:val="0092236D"/>
    <w:rPr>
      <w:color w:val="0000FF"/>
      <w:u w:val="single"/>
    </w:rPr>
  </w:style>
  <w:style w:type="paragraph" w:styleId="Header">
    <w:name w:val="header"/>
    <w:basedOn w:val="Normal"/>
    <w:link w:val="HeaderChar"/>
    <w:uiPriority w:val="99"/>
    <w:unhideWhenUsed/>
    <w:rsid w:val="0094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2C"/>
  </w:style>
  <w:style w:type="paragraph" w:styleId="Footer">
    <w:name w:val="footer"/>
    <w:basedOn w:val="Normal"/>
    <w:link w:val="FooterChar"/>
    <w:uiPriority w:val="99"/>
    <w:unhideWhenUsed/>
    <w:rsid w:val="0094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2C"/>
  </w:style>
  <w:style w:type="character" w:styleId="CommentReference">
    <w:name w:val="annotation reference"/>
    <w:basedOn w:val="DefaultParagraphFont"/>
    <w:uiPriority w:val="99"/>
    <w:semiHidden/>
    <w:unhideWhenUsed/>
    <w:rsid w:val="00954569"/>
    <w:rPr>
      <w:sz w:val="16"/>
      <w:szCs w:val="16"/>
    </w:rPr>
  </w:style>
  <w:style w:type="paragraph" w:styleId="CommentText">
    <w:name w:val="annotation text"/>
    <w:basedOn w:val="Normal"/>
    <w:link w:val="CommentTextChar"/>
    <w:uiPriority w:val="99"/>
    <w:semiHidden/>
    <w:unhideWhenUsed/>
    <w:rsid w:val="00954569"/>
    <w:pPr>
      <w:spacing w:line="240" w:lineRule="auto"/>
    </w:pPr>
    <w:rPr>
      <w:sz w:val="20"/>
      <w:szCs w:val="20"/>
    </w:rPr>
  </w:style>
  <w:style w:type="character" w:customStyle="1" w:styleId="CommentTextChar">
    <w:name w:val="Comment Text Char"/>
    <w:basedOn w:val="DefaultParagraphFont"/>
    <w:link w:val="CommentText"/>
    <w:uiPriority w:val="99"/>
    <w:semiHidden/>
    <w:rsid w:val="00954569"/>
    <w:rPr>
      <w:sz w:val="20"/>
      <w:szCs w:val="20"/>
    </w:rPr>
  </w:style>
  <w:style w:type="paragraph" w:styleId="CommentSubject">
    <w:name w:val="annotation subject"/>
    <w:basedOn w:val="CommentText"/>
    <w:next w:val="CommentText"/>
    <w:link w:val="CommentSubjectChar"/>
    <w:uiPriority w:val="99"/>
    <w:semiHidden/>
    <w:unhideWhenUsed/>
    <w:rsid w:val="00954569"/>
    <w:rPr>
      <w:b/>
      <w:bCs/>
    </w:rPr>
  </w:style>
  <w:style w:type="character" w:customStyle="1" w:styleId="CommentSubjectChar">
    <w:name w:val="Comment Subject Char"/>
    <w:basedOn w:val="CommentTextChar"/>
    <w:link w:val="CommentSubject"/>
    <w:uiPriority w:val="99"/>
    <w:semiHidden/>
    <w:rsid w:val="00954569"/>
    <w:rPr>
      <w:b/>
      <w:bCs/>
      <w:sz w:val="20"/>
      <w:szCs w:val="20"/>
    </w:rPr>
  </w:style>
  <w:style w:type="paragraph" w:styleId="BalloonText">
    <w:name w:val="Balloon Text"/>
    <w:basedOn w:val="Normal"/>
    <w:link w:val="BalloonTextChar"/>
    <w:uiPriority w:val="99"/>
    <w:semiHidden/>
    <w:unhideWhenUsed/>
    <w:rsid w:val="00954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569"/>
    <w:rPr>
      <w:rFonts w:ascii="Tahoma" w:hAnsi="Tahoma" w:cs="Tahoma"/>
      <w:sz w:val="16"/>
      <w:szCs w:val="16"/>
    </w:rPr>
  </w:style>
  <w:style w:type="paragraph" w:styleId="NormalWeb">
    <w:name w:val="Normal (Web)"/>
    <w:basedOn w:val="Normal"/>
    <w:uiPriority w:val="99"/>
    <w:rsid w:val="009428DB"/>
    <w:pPr>
      <w:spacing w:after="100" w:afterAutospacing="1" w:line="240" w:lineRule="auto"/>
    </w:pPr>
    <w:rPr>
      <w:rFonts w:ascii="Arial" w:eastAsia="Times New Roman" w:hAnsi="Arial" w:cs="Arial"/>
      <w:color w:val="333333"/>
      <w:sz w:val="18"/>
      <w:szCs w:val="18"/>
      <w:lang w:bidi="ar-SA"/>
    </w:rPr>
  </w:style>
  <w:style w:type="character" w:styleId="Emphasis">
    <w:name w:val="Emphasis"/>
    <w:uiPriority w:val="20"/>
    <w:qFormat/>
    <w:rsid w:val="009428DB"/>
    <w:rPr>
      <w:i/>
      <w:iCs/>
    </w:rPr>
  </w:style>
  <w:style w:type="paragraph" w:customStyle="1" w:styleId="Default">
    <w:name w:val="Default"/>
    <w:rsid w:val="009428DB"/>
    <w:pPr>
      <w:autoSpaceDE w:val="0"/>
      <w:autoSpaceDN w:val="0"/>
      <w:adjustRightInd w:val="0"/>
      <w:spacing w:after="0" w:line="240" w:lineRule="auto"/>
    </w:pPr>
    <w:rPr>
      <w:rFonts w:ascii="Symbol" w:hAnsi="Symbol" w:cs="Symbol"/>
      <w:color w:val="000000"/>
      <w:sz w:val="24"/>
      <w:szCs w:val="24"/>
      <w:lang w:bidi="ar-SA"/>
    </w:rPr>
  </w:style>
  <w:style w:type="character" w:styleId="Strong">
    <w:name w:val="Strong"/>
    <w:basedOn w:val="DefaultParagraphFont"/>
    <w:uiPriority w:val="22"/>
    <w:qFormat/>
    <w:rsid w:val="00C34A5D"/>
    <w:rPr>
      <w:b/>
      <w:bCs/>
    </w:rPr>
  </w:style>
  <w:style w:type="character" w:customStyle="1" w:styleId="apple-converted-space">
    <w:name w:val="apple-converted-space"/>
    <w:basedOn w:val="DefaultParagraphFont"/>
    <w:rsid w:val="00810CA0"/>
  </w:style>
  <w:style w:type="paragraph" w:styleId="FootnoteText">
    <w:name w:val="footnote text"/>
    <w:basedOn w:val="Normal"/>
    <w:link w:val="FootnoteTextChar"/>
    <w:uiPriority w:val="99"/>
    <w:semiHidden/>
    <w:unhideWhenUsed/>
    <w:rsid w:val="0059615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96159"/>
    <w:rPr>
      <w:rFonts w:eastAsiaTheme="minorEastAsia"/>
      <w:sz w:val="20"/>
      <w:szCs w:val="20"/>
    </w:rPr>
  </w:style>
  <w:style w:type="character" w:styleId="FootnoteReference">
    <w:name w:val="footnote reference"/>
    <w:basedOn w:val="DefaultParagraphFont"/>
    <w:uiPriority w:val="99"/>
    <w:semiHidden/>
    <w:unhideWhenUsed/>
    <w:rsid w:val="00596159"/>
    <w:rPr>
      <w:vertAlign w:val="superscript"/>
    </w:rPr>
  </w:style>
  <w:style w:type="character" w:styleId="FollowedHyperlink">
    <w:name w:val="FollowedHyperlink"/>
    <w:basedOn w:val="DefaultParagraphFont"/>
    <w:uiPriority w:val="99"/>
    <w:semiHidden/>
    <w:unhideWhenUsed/>
    <w:rsid w:val="00851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970">
      <w:bodyDiv w:val="1"/>
      <w:marLeft w:val="0"/>
      <w:marRight w:val="0"/>
      <w:marTop w:val="0"/>
      <w:marBottom w:val="0"/>
      <w:divBdr>
        <w:top w:val="none" w:sz="0" w:space="0" w:color="auto"/>
        <w:left w:val="none" w:sz="0" w:space="0" w:color="auto"/>
        <w:bottom w:val="none" w:sz="0" w:space="0" w:color="auto"/>
        <w:right w:val="none" w:sz="0" w:space="0" w:color="auto"/>
      </w:divBdr>
    </w:div>
    <w:div w:id="89668432">
      <w:bodyDiv w:val="1"/>
      <w:marLeft w:val="0"/>
      <w:marRight w:val="0"/>
      <w:marTop w:val="0"/>
      <w:marBottom w:val="0"/>
      <w:divBdr>
        <w:top w:val="none" w:sz="0" w:space="0" w:color="auto"/>
        <w:left w:val="none" w:sz="0" w:space="0" w:color="auto"/>
        <w:bottom w:val="none" w:sz="0" w:space="0" w:color="auto"/>
        <w:right w:val="none" w:sz="0" w:space="0" w:color="auto"/>
      </w:divBdr>
    </w:div>
    <w:div w:id="461657360">
      <w:bodyDiv w:val="1"/>
      <w:marLeft w:val="0"/>
      <w:marRight w:val="0"/>
      <w:marTop w:val="0"/>
      <w:marBottom w:val="0"/>
      <w:divBdr>
        <w:top w:val="none" w:sz="0" w:space="0" w:color="auto"/>
        <w:left w:val="none" w:sz="0" w:space="0" w:color="auto"/>
        <w:bottom w:val="none" w:sz="0" w:space="0" w:color="auto"/>
        <w:right w:val="none" w:sz="0" w:space="0" w:color="auto"/>
      </w:divBdr>
      <w:divsChild>
        <w:div w:id="1616214575">
          <w:marLeft w:val="0"/>
          <w:marRight w:val="0"/>
          <w:marTop w:val="0"/>
          <w:marBottom w:val="0"/>
          <w:divBdr>
            <w:top w:val="none" w:sz="0" w:space="0" w:color="auto"/>
            <w:left w:val="none" w:sz="0" w:space="0" w:color="auto"/>
            <w:bottom w:val="none" w:sz="0" w:space="0" w:color="auto"/>
            <w:right w:val="none" w:sz="0" w:space="0" w:color="auto"/>
          </w:divBdr>
        </w:div>
      </w:divsChild>
    </w:div>
    <w:div w:id="665978316">
      <w:bodyDiv w:val="1"/>
      <w:marLeft w:val="0"/>
      <w:marRight w:val="0"/>
      <w:marTop w:val="0"/>
      <w:marBottom w:val="0"/>
      <w:divBdr>
        <w:top w:val="none" w:sz="0" w:space="0" w:color="auto"/>
        <w:left w:val="none" w:sz="0" w:space="0" w:color="auto"/>
        <w:bottom w:val="none" w:sz="0" w:space="0" w:color="auto"/>
        <w:right w:val="none" w:sz="0" w:space="0" w:color="auto"/>
      </w:divBdr>
    </w:div>
    <w:div w:id="755443452">
      <w:bodyDiv w:val="1"/>
      <w:marLeft w:val="0"/>
      <w:marRight w:val="0"/>
      <w:marTop w:val="0"/>
      <w:marBottom w:val="0"/>
      <w:divBdr>
        <w:top w:val="none" w:sz="0" w:space="0" w:color="auto"/>
        <w:left w:val="none" w:sz="0" w:space="0" w:color="auto"/>
        <w:bottom w:val="none" w:sz="0" w:space="0" w:color="auto"/>
        <w:right w:val="none" w:sz="0" w:space="0" w:color="auto"/>
      </w:divBdr>
    </w:div>
    <w:div w:id="1130517317">
      <w:bodyDiv w:val="1"/>
      <w:marLeft w:val="0"/>
      <w:marRight w:val="0"/>
      <w:marTop w:val="0"/>
      <w:marBottom w:val="0"/>
      <w:divBdr>
        <w:top w:val="none" w:sz="0" w:space="0" w:color="auto"/>
        <w:left w:val="none" w:sz="0" w:space="0" w:color="auto"/>
        <w:bottom w:val="none" w:sz="0" w:space="0" w:color="auto"/>
        <w:right w:val="none" w:sz="0" w:space="0" w:color="auto"/>
      </w:divBdr>
    </w:div>
    <w:div w:id="1141650536">
      <w:bodyDiv w:val="1"/>
      <w:marLeft w:val="0"/>
      <w:marRight w:val="0"/>
      <w:marTop w:val="0"/>
      <w:marBottom w:val="0"/>
      <w:divBdr>
        <w:top w:val="none" w:sz="0" w:space="0" w:color="auto"/>
        <w:left w:val="none" w:sz="0" w:space="0" w:color="auto"/>
        <w:bottom w:val="none" w:sz="0" w:space="0" w:color="auto"/>
        <w:right w:val="none" w:sz="0" w:space="0" w:color="auto"/>
      </w:divBdr>
    </w:div>
    <w:div w:id="1209415951">
      <w:bodyDiv w:val="1"/>
      <w:marLeft w:val="0"/>
      <w:marRight w:val="0"/>
      <w:marTop w:val="0"/>
      <w:marBottom w:val="0"/>
      <w:divBdr>
        <w:top w:val="none" w:sz="0" w:space="0" w:color="auto"/>
        <w:left w:val="none" w:sz="0" w:space="0" w:color="auto"/>
        <w:bottom w:val="none" w:sz="0" w:space="0" w:color="auto"/>
        <w:right w:val="none" w:sz="0" w:space="0" w:color="auto"/>
      </w:divBdr>
    </w:div>
    <w:div w:id="1934125712">
      <w:bodyDiv w:val="1"/>
      <w:marLeft w:val="0"/>
      <w:marRight w:val="0"/>
      <w:marTop w:val="0"/>
      <w:marBottom w:val="0"/>
      <w:divBdr>
        <w:top w:val="none" w:sz="0" w:space="0" w:color="auto"/>
        <w:left w:val="none" w:sz="0" w:space="0" w:color="auto"/>
        <w:bottom w:val="none" w:sz="0" w:space="0" w:color="auto"/>
        <w:right w:val="none" w:sz="0" w:space="0" w:color="auto"/>
      </w:divBdr>
    </w:div>
    <w:div w:id="2114982293">
      <w:bodyDiv w:val="1"/>
      <w:marLeft w:val="0"/>
      <w:marRight w:val="0"/>
      <w:marTop w:val="0"/>
      <w:marBottom w:val="0"/>
      <w:divBdr>
        <w:top w:val="none" w:sz="0" w:space="0" w:color="auto"/>
        <w:left w:val="none" w:sz="0" w:space="0" w:color="auto"/>
        <w:bottom w:val="none" w:sz="0" w:space="0" w:color="auto"/>
        <w:right w:val="none" w:sz="0" w:space="0" w:color="auto"/>
      </w:divBdr>
      <w:divsChild>
        <w:div w:id="712196320">
          <w:marLeft w:val="0"/>
          <w:marRight w:val="0"/>
          <w:marTop w:val="0"/>
          <w:marBottom w:val="0"/>
          <w:divBdr>
            <w:top w:val="none" w:sz="0" w:space="0" w:color="auto"/>
            <w:left w:val="none" w:sz="0" w:space="0" w:color="auto"/>
            <w:bottom w:val="none" w:sz="0" w:space="0" w:color="auto"/>
            <w:right w:val="none" w:sz="0" w:space="0" w:color="auto"/>
          </w:divBdr>
        </w:div>
        <w:div w:id="1590387522">
          <w:marLeft w:val="0"/>
          <w:marRight w:val="0"/>
          <w:marTop w:val="0"/>
          <w:marBottom w:val="0"/>
          <w:divBdr>
            <w:top w:val="none" w:sz="0" w:space="0" w:color="auto"/>
            <w:left w:val="none" w:sz="0" w:space="0" w:color="auto"/>
            <w:bottom w:val="none" w:sz="0" w:space="0" w:color="auto"/>
            <w:right w:val="none" w:sz="0" w:space="0" w:color="auto"/>
          </w:divBdr>
        </w:div>
        <w:div w:id="40978442">
          <w:marLeft w:val="0"/>
          <w:marRight w:val="0"/>
          <w:marTop w:val="0"/>
          <w:marBottom w:val="0"/>
          <w:divBdr>
            <w:top w:val="none" w:sz="0" w:space="0" w:color="auto"/>
            <w:left w:val="none" w:sz="0" w:space="0" w:color="auto"/>
            <w:bottom w:val="none" w:sz="0" w:space="0" w:color="auto"/>
            <w:right w:val="none" w:sz="0" w:space="0" w:color="auto"/>
          </w:divBdr>
        </w:div>
        <w:div w:id="1261987505">
          <w:marLeft w:val="0"/>
          <w:marRight w:val="0"/>
          <w:marTop w:val="0"/>
          <w:marBottom w:val="0"/>
          <w:divBdr>
            <w:top w:val="none" w:sz="0" w:space="0" w:color="auto"/>
            <w:left w:val="none" w:sz="0" w:space="0" w:color="auto"/>
            <w:bottom w:val="none" w:sz="0" w:space="0" w:color="auto"/>
            <w:right w:val="none" w:sz="0" w:space="0" w:color="auto"/>
          </w:divBdr>
        </w:div>
        <w:div w:id="1013218467">
          <w:marLeft w:val="0"/>
          <w:marRight w:val="0"/>
          <w:marTop w:val="0"/>
          <w:marBottom w:val="0"/>
          <w:divBdr>
            <w:top w:val="none" w:sz="0" w:space="0" w:color="auto"/>
            <w:left w:val="none" w:sz="0" w:space="0" w:color="auto"/>
            <w:bottom w:val="none" w:sz="0" w:space="0" w:color="auto"/>
            <w:right w:val="none" w:sz="0" w:space="0" w:color="auto"/>
          </w:divBdr>
        </w:div>
        <w:div w:id="809173479">
          <w:marLeft w:val="0"/>
          <w:marRight w:val="0"/>
          <w:marTop w:val="0"/>
          <w:marBottom w:val="0"/>
          <w:divBdr>
            <w:top w:val="none" w:sz="0" w:space="0" w:color="auto"/>
            <w:left w:val="none" w:sz="0" w:space="0" w:color="auto"/>
            <w:bottom w:val="none" w:sz="0" w:space="0" w:color="auto"/>
            <w:right w:val="none" w:sz="0" w:space="0" w:color="auto"/>
          </w:divBdr>
        </w:div>
        <w:div w:id="198438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limateresilience.lk/index.php/2012-08-19-18-58-11/staff-profile" TargetMode="External"/><Relationship Id="rId20" Type="http://schemas.openxmlformats.org/officeDocument/2006/relationships/hyperlink" Target="http://www.unescap.org/sites/default/files/The%20resilience%20of%20ICT%20Infrastructures.pdf" TargetMode="External"/><Relationship Id="rId21" Type="http://schemas.openxmlformats.org/officeDocument/2006/relationships/hyperlink" Target="http://itidjournal.org/itid/article/view/224/94" TargetMode="External"/><Relationship Id="rId22" Type="http://schemas.openxmlformats.org/officeDocument/2006/relationships/hyperlink" Target="http://itidjournal.org/itid/article/view/630/270" TargetMode="External"/><Relationship Id="rId23" Type="http://schemas.openxmlformats.org/officeDocument/2006/relationships/hyperlink" Target="http://lirneasia.net/wp-content/uploads/2017/03/Comm-policy-in-the-age-of-Facebook.pdf" TargetMode="External"/><Relationship Id="rId24" Type="http://schemas.openxmlformats.org/officeDocument/2006/relationships/hyperlink" Target="http://trai.gov.in/sites/default/files/CP_Data_speed_01062017.pdf" TargetMode="External"/><Relationship Id="rId25" Type="http://schemas.openxmlformats.org/officeDocument/2006/relationships/hyperlink" Target="https://www.gov.uk/government/publications/uk-digital-strategy" TargetMode="External"/><Relationship Id="rId26" Type="http://schemas.openxmlformats.org/officeDocument/2006/relationships/hyperlink" Target="http://unpan3.un.org/egovkb/Portals/egovkb/Documents/un/2014-Survey/E-Gov_Complete_Survey-2014.pdf" TargetMode="External"/><Relationship Id="rId27" Type="http://schemas.openxmlformats.org/officeDocument/2006/relationships/hyperlink" Target="http://lirneasia.net/wp-content/uploads/2016/04/Nepal_Report_on_Emergency_Communications_v1.0.pdf"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mrt.ac.lk/tcp/home.php" TargetMode="External"/><Relationship Id="rId11" Type="http://schemas.openxmlformats.org/officeDocument/2006/relationships/hyperlink" Target="http://lirneasia.net/wp-content/uploads/2017/03/NavigatingTheWalledGarden_CihonGalpaya_2017.pdf" TargetMode="External"/><Relationship Id="rId12" Type="http://schemas.openxmlformats.org/officeDocument/2006/relationships/hyperlink" Target="https://www.idrc.ca/en/book/infocus-information-lives-poor-fighting-poverty-technology" TargetMode="External"/><Relationship Id="rId13" Type="http://schemas.openxmlformats.org/officeDocument/2006/relationships/hyperlink" Target="https://www.ourinternet.org/research/zero-rating-emerging-economies" TargetMode="External"/><Relationship Id="rId14" Type="http://schemas.openxmlformats.org/officeDocument/2006/relationships/hyperlink" Target="http://www.nta.gov.np/ne/component/joomdoc/Broadband%20Policy-Draft.pdf/download" TargetMode="External"/><Relationship Id="rId15" Type="http://schemas.openxmlformats.org/officeDocument/2006/relationships/hyperlink" Target="http://broadbandtoolkit.org/en/toolkit/contents" TargetMode="External"/><Relationship Id="rId16" Type="http://schemas.openxmlformats.org/officeDocument/2006/relationships/hyperlink" Target="http://papers.ssrn.com/sol3/papers.cfm?abstract_id=2146566" TargetMode="External"/><Relationship Id="rId17" Type="http://schemas.openxmlformats.org/officeDocument/2006/relationships/hyperlink" Target="http://lirneasia.net/projects/broadband-for-all/" TargetMode="External"/><Relationship Id="rId18" Type="http://schemas.openxmlformats.org/officeDocument/2006/relationships/hyperlink" Target="http://broadbandasia.info/" TargetMode="External"/><Relationship Id="rId19" Type="http://schemas.openxmlformats.org/officeDocument/2006/relationships/hyperlink" Target="https://www.researchgate.net/publication/235291227_Two_complementary_mobile_technologies_for_disaster_warn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477B2-8875-AE4E-A61F-01A83ED2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3787</Words>
  <Characters>21588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Rohan</dc:creator>
  <cp:lastModifiedBy>Laleema Senanayake</cp:lastModifiedBy>
  <cp:revision>2</cp:revision>
  <dcterms:created xsi:type="dcterms:W3CDTF">2017-07-10T08:56:00Z</dcterms:created>
  <dcterms:modified xsi:type="dcterms:W3CDTF">2017-07-10T08:56:00Z</dcterms:modified>
</cp:coreProperties>
</file>