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1F2B3B" w:rsidTr="001F2B3B">
        <w:tc>
          <w:tcPr>
            <w:tcW w:w="9576" w:type="dxa"/>
          </w:tcPr>
          <w:p w:rsidR="001F2B3B" w:rsidRPr="00065149" w:rsidRDefault="001F2B3B" w:rsidP="00533099">
            <w:pPr>
              <w:rPr>
                <w:color w:val="244061" w:themeColor="accent1" w:themeShade="80"/>
                <w:sz w:val="40"/>
                <w:szCs w:val="36"/>
              </w:rPr>
            </w:pPr>
            <w:bookmarkStart w:id="0" w:name="_GoBack"/>
            <w:bookmarkEnd w:id="0"/>
            <w:r w:rsidRPr="00065149">
              <w:rPr>
                <w:b/>
                <w:bCs/>
                <w:color w:val="244061" w:themeColor="accent1" w:themeShade="80"/>
                <w:sz w:val="40"/>
                <w:szCs w:val="36"/>
              </w:rPr>
              <w:t>Increasing skilled internet users</w:t>
            </w:r>
            <w:r w:rsidRPr="00065149">
              <w:rPr>
                <w:color w:val="244061" w:themeColor="accent1" w:themeShade="80"/>
                <w:sz w:val="40"/>
                <w:szCs w:val="36"/>
              </w:rPr>
              <w:t xml:space="preserve"> </w:t>
            </w:r>
            <w:r w:rsidRPr="00065149">
              <w:rPr>
                <w:b/>
                <w:bCs/>
                <w:color w:val="C00000"/>
                <w:sz w:val="40"/>
                <w:szCs w:val="36"/>
              </w:rPr>
              <w:t>in rural Nepal</w:t>
            </w:r>
          </w:p>
        </w:tc>
      </w:tr>
    </w:tbl>
    <w:p w:rsidR="001F2B3B" w:rsidRPr="001F2B3B" w:rsidRDefault="001F2B3B" w:rsidP="006D5275">
      <w:pPr>
        <w:rPr>
          <w:b/>
          <w:bCs/>
          <w:sz w:val="12"/>
          <w:szCs w:val="10"/>
        </w:rPr>
      </w:pPr>
    </w:p>
    <w:p w:rsidR="00533099" w:rsidRPr="00533099" w:rsidRDefault="00724464" w:rsidP="006D5275">
      <w:pPr>
        <w:rPr>
          <w:b/>
          <w:bCs/>
          <w:sz w:val="24"/>
          <w:szCs w:val="22"/>
        </w:rPr>
      </w:pPr>
      <w:r w:rsidRPr="00533099">
        <w:rPr>
          <w:b/>
          <w:bCs/>
          <w:sz w:val="24"/>
          <w:szCs w:val="22"/>
        </w:rPr>
        <w:t>Summary of findings</w:t>
      </w:r>
      <w:r w:rsidR="000C6D13" w:rsidRPr="00533099">
        <w:rPr>
          <w:b/>
          <w:bCs/>
          <w:sz w:val="24"/>
          <w:szCs w:val="22"/>
        </w:rPr>
        <w:t xml:space="preserve"> and recommendations</w:t>
      </w:r>
    </w:p>
    <w:p w:rsidR="00724464" w:rsidRDefault="006D5275" w:rsidP="006D5275">
      <w:r>
        <w:t>This study concluded that there is a significance need to increase skilled Internet users in Nepal’s rural area. Following recommendations are made based on the finding</w:t>
      </w:r>
      <w:r w:rsidR="00065AFF">
        <w:t>s</w:t>
      </w:r>
      <w:r>
        <w:t xml:space="preserve">.   </w:t>
      </w:r>
      <w:r w:rsidR="000C6D13">
        <w:t xml:space="preserve"> </w:t>
      </w:r>
    </w:p>
    <w:p w:rsidR="0017690E" w:rsidRDefault="00F706BA" w:rsidP="00533099">
      <w:pPr>
        <w:pStyle w:val="ListParagraph"/>
        <w:numPr>
          <w:ilvl w:val="0"/>
          <w:numId w:val="2"/>
        </w:numPr>
      </w:pPr>
      <w:r>
        <w:t>ICT volunteer network</w:t>
      </w:r>
      <w:r w:rsidR="006D5275">
        <w:t xml:space="preserve">s should be formed </w:t>
      </w:r>
    </w:p>
    <w:p w:rsidR="00533099" w:rsidRDefault="006D5275" w:rsidP="00533099">
      <w:pPr>
        <w:pStyle w:val="ListParagraph"/>
        <w:numPr>
          <w:ilvl w:val="0"/>
          <w:numId w:val="2"/>
        </w:numPr>
      </w:pPr>
      <w:r>
        <w:t xml:space="preserve">Training and deployment of government staffs for internet skill  </w:t>
      </w:r>
    </w:p>
    <w:p w:rsidR="00EE1351" w:rsidRDefault="0029284C" w:rsidP="00533099">
      <w:pPr>
        <w:pStyle w:val="ListParagraph"/>
        <w:numPr>
          <w:ilvl w:val="0"/>
          <w:numId w:val="2"/>
        </w:numPr>
      </w:pPr>
      <w:r>
        <w:t xml:space="preserve">Establishing </w:t>
      </w:r>
      <w:r w:rsidR="006D5275">
        <w:t xml:space="preserve">and upgrading community </w:t>
      </w:r>
      <w:r w:rsidR="005144EA">
        <w:t xml:space="preserve">ICT </w:t>
      </w:r>
      <w:r>
        <w:t>learning center</w:t>
      </w:r>
      <w:r w:rsidR="006D5275">
        <w:t>s</w:t>
      </w:r>
    </w:p>
    <w:p w:rsidR="00D53E3C" w:rsidRPr="00533099" w:rsidRDefault="00ED6E6D" w:rsidP="00533099">
      <w:pPr>
        <w:rPr>
          <w:b/>
          <w:bCs/>
          <w:sz w:val="24"/>
          <w:szCs w:val="22"/>
        </w:rPr>
      </w:pPr>
      <w:r w:rsidRPr="00533099">
        <w:rPr>
          <w:b/>
          <w:bCs/>
          <w:sz w:val="24"/>
          <w:szCs w:val="22"/>
        </w:rPr>
        <w:t>Introduction</w:t>
      </w:r>
    </w:p>
    <w:p w:rsidR="00D06595" w:rsidRDefault="004B29C3" w:rsidP="00D057C2">
      <w:pPr>
        <w:pStyle w:val="ListParagraph"/>
        <w:ind w:left="0"/>
        <w:jc w:val="both"/>
      </w:pPr>
      <w:r>
        <w:rPr>
          <w:noProof/>
          <w:lang w:bidi="ar-SA"/>
        </w:rPr>
        <mc:AlternateContent>
          <mc:Choice Requires="wps">
            <w:drawing>
              <wp:anchor distT="0" distB="0" distL="114300" distR="114300" simplePos="0" relativeHeight="251663360" behindDoc="0" locked="0" layoutInCell="1" allowOverlap="1" wp14:anchorId="039182FC" wp14:editId="005AA424">
                <wp:simplePos x="0" y="0"/>
                <wp:positionH relativeFrom="column">
                  <wp:posOffset>82550</wp:posOffset>
                </wp:positionH>
                <wp:positionV relativeFrom="paragraph">
                  <wp:posOffset>1778000</wp:posOffset>
                </wp:positionV>
                <wp:extent cx="3371850" cy="3238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371850" cy="323850"/>
                        </a:xfrm>
                        <a:prstGeom prst="rect">
                          <a:avLst/>
                        </a:prstGeom>
                        <a:solidFill>
                          <a:prstClr val="white"/>
                        </a:solidFill>
                        <a:ln>
                          <a:noFill/>
                        </a:ln>
                        <a:effectLst/>
                      </wps:spPr>
                      <wps:txbx>
                        <w:txbxContent>
                          <w:p w:rsidR="007A7163" w:rsidRPr="00FC3552" w:rsidRDefault="007A7163" w:rsidP="007A7163">
                            <w:pPr>
                              <w:pStyle w:val="Caption"/>
                              <w:jc w:val="center"/>
                              <w:rPr>
                                <w:noProof/>
                              </w:rPr>
                            </w:pPr>
                            <w:r w:rsidRPr="00D51625">
                              <w:rPr>
                                <w:b w:val="0"/>
                                <w:bCs w:val="0"/>
                              </w:rPr>
                              <w:t xml:space="preserve">Figure </w:t>
                            </w:r>
                            <w:r w:rsidRPr="00D51625">
                              <w:rPr>
                                <w:b w:val="0"/>
                                <w:bCs w:val="0"/>
                              </w:rPr>
                              <w:fldChar w:fldCharType="begin"/>
                            </w:r>
                            <w:r w:rsidRPr="00D51625">
                              <w:rPr>
                                <w:b w:val="0"/>
                                <w:bCs w:val="0"/>
                              </w:rPr>
                              <w:instrText xml:space="preserve"> SEQ Figure \* ARABIC </w:instrText>
                            </w:r>
                            <w:r w:rsidRPr="00D51625">
                              <w:rPr>
                                <w:b w:val="0"/>
                                <w:bCs w:val="0"/>
                              </w:rPr>
                              <w:fldChar w:fldCharType="separate"/>
                            </w:r>
                            <w:r w:rsidRPr="00D51625">
                              <w:rPr>
                                <w:b w:val="0"/>
                                <w:bCs w:val="0"/>
                                <w:noProof/>
                              </w:rPr>
                              <w:t>1</w:t>
                            </w:r>
                            <w:r w:rsidRPr="00D51625">
                              <w:rPr>
                                <w:b w:val="0"/>
                                <w:bCs w:val="0"/>
                              </w:rPr>
                              <w:fldChar w:fldCharType="end"/>
                            </w:r>
                            <w:r w:rsidRPr="00D51625">
                              <w:rPr>
                                <w:b w:val="0"/>
                                <w:bCs w:val="0"/>
                              </w:rPr>
                              <w:t>: percentage of rural and urban population comparing to Internet users</w:t>
                            </w:r>
                            <w:r>
                              <w:rPr>
                                <w:b w:val="0"/>
                                <w:bCs w:val="0"/>
                              </w:rPr>
                              <w:t xml:space="preserve"> in Nepal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5pt;margin-top:140pt;width:265.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" stroked="f">
                <v:textbox inset="0,0,0,0">
                  <w:txbxContent>
                    <w:p w:rsidR="007A7163" w:rsidRPr="00FC3552" w:rsidRDefault="007A7163" w:rsidP="007A7163">
                      <w:pPr>
                        <w:pStyle w:val="Caption"/>
                        <w:jc w:val="center"/>
                        <w:rPr>
                          <w:noProof/>
                        </w:rPr>
                      </w:pPr>
                      <w:r w:rsidRPr="00D51625">
                        <w:rPr>
                          <w:b w:val="0"/>
                          <w:bCs w:val="0"/>
                        </w:rPr>
                        <w:t xml:space="preserve">Figure </w:t>
                      </w:r>
                      <w:r w:rsidRPr="00D51625">
                        <w:rPr>
                          <w:b w:val="0"/>
                          <w:bCs w:val="0"/>
                        </w:rPr>
                        <w:fldChar w:fldCharType="begin"/>
                      </w:r>
                      <w:r w:rsidRPr="00D51625">
                        <w:rPr>
                          <w:b w:val="0"/>
                          <w:bCs w:val="0"/>
                        </w:rPr>
                        <w:instrText xml:space="preserve"> SEQ Figure \* ARABIC </w:instrText>
                      </w:r>
                      <w:r w:rsidRPr="00D51625">
                        <w:rPr>
                          <w:b w:val="0"/>
                          <w:bCs w:val="0"/>
                        </w:rPr>
                        <w:fldChar w:fldCharType="separate"/>
                      </w:r>
                      <w:r w:rsidRPr="00D51625">
                        <w:rPr>
                          <w:b w:val="0"/>
                          <w:bCs w:val="0"/>
                          <w:noProof/>
                        </w:rPr>
                        <w:t>1</w:t>
                      </w:r>
                      <w:r w:rsidRPr="00D51625">
                        <w:rPr>
                          <w:b w:val="0"/>
                          <w:bCs w:val="0"/>
                        </w:rPr>
                        <w:fldChar w:fldCharType="end"/>
                      </w:r>
                      <w:r w:rsidRPr="00D51625">
                        <w:rPr>
                          <w:b w:val="0"/>
                          <w:bCs w:val="0"/>
                        </w:rPr>
                        <w:t>: percentage of rural and urban population comparing to Internet users</w:t>
                      </w:r>
                      <w:r>
                        <w:rPr>
                          <w:b w:val="0"/>
                          <w:bCs w:val="0"/>
                        </w:rPr>
                        <w:t xml:space="preserve"> in Nepal</w:t>
                      </w:r>
                    </w:p>
                  </w:txbxContent>
                </v:textbox>
                <w10:wrap type="square"/>
              </v:shape>
            </w:pict>
          </mc:Fallback>
        </mc:AlternateContent>
      </w:r>
      <w:r>
        <w:rPr>
          <w:noProof/>
          <w:lang w:bidi="ar-SA"/>
        </w:rPr>
        <w:drawing>
          <wp:anchor distT="0" distB="0" distL="114300" distR="114300" simplePos="0" relativeHeight="251661312" behindDoc="0" locked="0" layoutInCell="1" allowOverlap="1" wp14:anchorId="2E52D1E9" wp14:editId="3A4BA8A5">
            <wp:simplePos x="0" y="0"/>
            <wp:positionH relativeFrom="column">
              <wp:posOffset>82550</wp:posOffset>
            </wp:positionH>
            <wp:positionV relativeFrom="paragraph">
              <wp:posOffset>127000</wp:posOffset>
            </wp:positionV>
            <wp:extent cx="3371850" cy="1619250"/>
            <wp:effectExtent l="0" t="0" r="19050" b="1905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ED6E6D">
        <w:t>2011 National census shows 83% of population live in rural area. But internet access and number of users in rural is quite low</w:t>
      </w:r>
      <w:r w:rsidR="0060662B">
        <w:t xml:space="preserve"> </w:t>
      </w:r>
      <w:sdt>
        <w:sdtPr>
          <w:id w:val="-1433895388"/>
          <w:citation/>
        </w:sdtPr>
        <w:sdtEndPr/>
        <w:sdtContent>
          <w:r w:rsidR="0060662B">
            <w:fldChar w:fldCharType="begin"/>
          </w:r>
          <w:r w:rsidR="00861C98">
            <w:instrText xml:space="preserve">CITATION Ann15 \l 1033 </w:instrText>
          </w:r>
          <w:r w:rsidR="0060662B">
            <w:fldChar w:fldCharType="separate"/>
          </w:r>
          <w:r w:rsidR="00861C98">
            <w:rPr>
              <w:noProof/>
            </w:rPr>
            <w:t>(CBS, 2014/15)</w:t>
          </w:r>
          <w:r w:rsidR="0060662B">
            <w:fldChar w:fldCharType="end"/>
          </w:r>
        </w:sdtContent>
      </w:sdt>
      <w:r w:rsidR="00ED6E6D">
        <w:t xml:space="preserve">. Only 7.28% rural people use the Internet. This figure clearly indicates significant effort is needed to improve the situation. Literacy rate is considered one of the major constraints along with geography, affordability, language and accessibility. The country has only 65.9 percent literacy rate. And rural area has worse situation then average. A previous study concluded </w:t>
      </w:r>
      <w:r w:rsidR="00ED6E6D" w:rsidRPr="00E96A21">
        <w:t>the urban people have higher education than rural area</w:t>
      </w:r>
      <w:sdt>
        <w:sdtPr>
          <w:id w:val="-1758506885"/>
          <w:citation/>
        </w:sdtPr>
        <w:sdtEndPr/>
        <w:sdtContent>
          <w:r w:rsidR="00ED6E6D">
            <w:fldChar w:fldCharType="begin"/>
          </w:r>
          <w:r w:rsidR="00ED6E6D">
            <w:instrText xml:space="preserve"> CITATION Pan15 \l 1033 </w:instrText>
          </w:r>
          <w:r w:rsidR="00ED6E6D">
            <w:fldChar w:fldCharType="separate"/>
          </w:r>
          <w:r w:rsidR="00B93CFF">
            <w:rPr>
              <w:noProof/>
            </w:rPr>
            <w:t xml:space="preserve"> (Panthhe, 2015)</w:t>
          </w:r>
          <w:r w:rsidR="00ED6E6D">
            <w:fldChar w:fldCharType="end"/>
          </w:r>
        </w:sdtContent>
      </w:sdt>
      <w:r w:rsidR="00ED6E6D">
        <w:t>.</w:t>
      </w:r>
    </w:p>
    <w:p w:rsidR="00F63DDA" w:rsidRPr="00533099" w:rsidRDefault="00D53E3C" w:rsidP="00533099">
      <w:pPr>
        <w:jc w:val="both"/>
        <w:rPr>
          <w:b/>
          <w:bCs/>
        </w:rPr>
      </w:pPr>
      <w:r w:rsidRPr="00533099">
        <w:rPr>
          <w:b/>
          <w:bCs/>
        </w:rPr>
        <w:t>Discussion</w:t>
      </w:r>
    </w:p>
    <w:p w:rsidR="004256D9" w:rsidRDefault="00521392" w:rsidP="00613F42">
      <w:pPr>
        <w:jc w:val="both"/>
      </w:pPr>
      <w:r>
        <w:t xml:space="preserve">The </w:t>
      </w:r>
      <w:r w:rsidRPr="00797957">
        <w:t>National Broadband Policy, 2071</w:t>
      </w:r>
      <w:r>
        <w:t xml:space="preserve"> and Information and Technology policy 2071 mainly deal with improving </w:t>
      </w:r>
      <w:r w:rsidR="006A6A99">
        <w:t>digital</w:t>
      </w:r>
      <w:r>
        <w:t xml:space="preserve"> literacy and formation of skilled users.</w:t>
      </w:r>
      <w:r w:rsidR="009B0FF1">
        <w:t xml:space="preserve"> But existing </w:t>
      </w:r>
      <w:r w:rsidR="004256D9">
        <w:t>policies somehow</w:t>
      </w:r>
      <w:r w:rsidR="009B0FF1">
        <w:t xml:space="preserve"> </w:t>
      </w:r>
      <w:r w:rsidR="004256D9">
        <w:t xml:space="preserve">lack to </w:t>
      </w:r>
      <w:r w:rsidR="007773DA">
        <w:t xml:space="preserve">address for wider and rapid </w:t>
      </w:r>
      <w:r w:rsidR="001F2B3B">
        <w:t>change need</w:t>
      </w:r>
      <w:r w:rsidR="004256D9">
        <w:t>.</w:t>
      </w:r>
    </w:p>
    <w:p w:rsidR="002C3052" w:rsidRDefault="002C3052" w:rsidP="00613F42">
      <w:pPr>
        <w:jc w:val="both"/>
      </w:pPr>
      <w:r>
        <w:t xml:space="preserve">This </w:t>
      </w:r>
      <w:r w:rsidR="00132B43">
        <w:t>study</w:t>
      </w:r>
      <w:r>
        <w:t xml:space="preserve"> discusses how </w:t>
      </w:r>
      <w:r w:rsidR="00F60968">
        <w:t xml:space="preserve">some strategies </w:t>
      </w:r>
      <w:r w:rsidR="00D334CD">
        <w:t xml:space="preserve">that </w:t>
      </w:r>
      <w:r w:rsidR="00F60968">
        <w:t>can help to</w:t>
      </w:r>
      <w:r w:rsidR="00E82F8D">
        <w:t xml:space="preserve"> get people </w:t>
      </w:r>
      <w:r w:rsidR="005D2437">
        <w:t xml:space="preserve">internet </w:t>
      </w:r>
      <w:r w:rsidR="00E82F8D">
        <w:t>skilled</w:t>
      </w:r>
      <w:r w:rsidR="00406798">
        <w:t xml:space="preserve"> in the context of Nepal</w:t>
      </w:r>
      <w:r w:rsidR="001410C4">
        <w:t xml:space="preserve">.  </w:t>
      </w:r>
      <w:r w:rsidR="00E82F8D">
        <w:t xml:space="preserve"> </w:t>
      </w:r>
      <w:r w:rsidR="002C75D9">
        <w:t xml:space="preserve"> </w:t>
      </w:r>
      <w:r w:rsidR="00F60968">
        <w:t xml:space="preserve">  </w:t>
      </w:r>
      <w:r>
        <w:t xml:space="preserve">  </w:t>
      </w:r>
    </w:p>
    <w:p w:rsidR="00C275D6" w:rsidRDefault="002C3052" w:rsidP="00613F42">
      <w:pPr>
        <w:jc w:val="both"/>
      </w:pPr>
      <w:r w:rsidRPr="00EA1CCD">
        <w:rPr>
          <w:b/>
          <w:bCs/>
        </w:rPr>
        <w:t>Formation of ICT volunteer network</w:t>
      </w:r>
      <w:r w:rsidR="00F706BA" w:rsidRPr="00EA1CCD">
        <w:rPr>
          <w:b/>
          <w:bCs/>
        </w:rPr>
        <w:t>s:</w:t>
      </w:r>
      <w:r w:rsidR="00D334CD">
        <w:t xml:space="preserve"> There have</w:t>
      </w:r>
      <w:r w:rsidR="00F706BA">
        <w:t xml:space="preserve"> been various experiments to deploy ICT volunteers </w:t>
      </w:r>
      <w:r w:rsidR="00D334CD">
        <w:t>at</w:t>
      </w:r>
      <w:r w:rsidR="00F706BA">
        <w:t xml:space="preserve"> local, national and international level</w:t>
      </w:r>
      <w:r w:rsidR="00D334CD">
        <w:t>.</w:t>
      </w:r>
      <w:r w:rsidR="00D21D4E">
        <w:t xml:space="preserve"> </w:t>
      </w:r>
      <w:r w:rsidR="00D334CD">
        <w:t>And there are lots of evidences of success.</w:t>
      </w:r>
      <w:r w:rsidR="00D4285F">
        <w:t xml:space="preserve"> Time between 2011 to 2014 </w:t>
      </w:r>
      <w:r w:rsidR="00D21D4E">
        <w:t>Indonesia deployed more than 6000 ICT volunteers across 34 provinces</w:t>
      </w:r>
      <w:r w:rsidR="006B6D40">
        <w:t xml:space="preserve"> </w:t>
      </w:r>
      <w:sdt>
        <w:sdtPr>
          <w:id w:val="-333997816"/>
          <w:citation/>
        </w:sdtPr>
        <w:sdtEndPr/>
        <w:sdtContent>
          <w:r w:rsidR="006B6D40">
            <w:fldChar w:fldCharType="begin"/>
          </w:r>
          <w:r w:rsidR="006B6D40">
            <w:instrText xml:space="preserve"> CITATION Sag15 \l 1033 </w:instrText>
          </w:r>
          <w:r w:rsidR="006B6D40">
            <w:fldChar w:fldCharType="separate"/>
          </w:r>
          <w:r w:rsidR="00B93CFF">
            <w:rPr>
              <w:noProof/>
            </w:rPr>
            <w:t>(Sagena, 2015)</w:t>
          </w:r>
          <w:r w:rsidR="006B6D40">
            <w:fldChar w:fldCharType="end"/>
          </w:r>
        </w:sdtContent>
      </w:sdt>
      <w:r w:rsidR="00D21D4E">
        <w:t xml:space="preserve">. </w:t>
      </w:r>
      <w:r w:rsidR="00F770AF">
        <w:t xml:space="preserve"> We should </w:t>
      </w:r>
      <w:r w:rsidR="00C275D6">
        <w:t>deploy</w:t>
      </w:r>
      <w:r w:rsidR="00F770AF">
        <w:t xml:space="preserve"> volunteers at community level by providing training to high school pass outs</w:t>
      </w:r>
      <w:r w:rsidR="00002AE4">
        <w:t xml:space="preserve"> and other youth</w:t>
      </w:r>
      <w:r w:rsidR="001D4FEF">
        <w:t>.</w:t>
      </w:r>
      <w:r w:rsidR="00C275D6">
        <w:t xml:space="preserve"> Establishing networks between them, sharing experiences and replicating success stories from one community to other can improve situation quickly.</w:t>
      </w:r>
    </w:p>
    <w:p w:rsidR="00C81200" w:rsidRDefault="008A68E0" w:rsidP="00613F42">
      <w:pPr>
        <w:jc w:val="both"/>
      </w:pPr>
      <w:r w:rsidRPr="00BA6249">
        <w:rPr>
          <w:b/>
          <w:bCs/>
        </w:rPr>
        <w:lastRenderedPageBreak/>
        <w:t>D</w:t>
      </w:r>
      <w:r w:rsidR="00890F4E" w:rsidRPr="00BA6249">
        <w:rPr>
          <w:b/>
          <w:bCs/>
        </w:rPr>
        <w:t>eploying g</w:t>
      </w:r>
      <w:r w:rsidRPr="00BA6249">
        <w:rPr>
          <w:b/>
          <w:bCs/>
        </w:rPr>
        <w:t>overnment staffs:</w:t>
      </w:r>
      <w:r>
        <w:t xml:space="preserve"> </w:t>
      </w:r>
      <w:r w:rsidR="000F5B86">
        <w:t>Government of Nepal has strong networks at community level for various service deliveries.</w:t>
      </w:r>
      <w:r w:rsidR="002B0877">
        <w:t xml:space="preserve"> If trainings and instructions are provided to government staffs working at community level</w:t>
      </w:r>
      <w:r w:rsidR="004107A9">
        <w:t>, they</w:t>
      </w:r>
      <w:r w:rsidR="002B0877">
        <w:t xml:space="preserve"> can actively involve in skill formation process.</w:t>
      </w:r>
    </w:p>
    <w:p w:rsidR="00397BCD" w:rsidRDefault="00126F86" w:rsidP="00613F42">
      <w:pPr>
        <w:jc w:val="both"/>
      </w:pPr>
      <w:r>
        <w:t>35,223 s</w:t>
      </w:r>
      <w:r w:rsidR="00C81200">
        <w:t>chools across the country have</w:t>
      </w:r>
      <w:r>
        <w:t xml:space="preserve"> 292,845 teachers</w:t>
      </w:r>
      <w:r w:rsidR="00B65FD6">
        <w:t xml:space="preserve"> </w:t>
      </w:r>
      <w:sdt>
        <w:sdtPr>
          <w:id w:val="-416015190"/>
          <w:citation/>
        </w:sdtPr>
        <w:sdtEndPr/>
        <w:sdtContent>
          <w:r w:rsidR="00C81200">
            <w:fldChar w:fldCharType="begin"/>
          </w:r>
          <w:r w:rsidR="00C81200">
            <w:instrText xml:space="preserve"> CITATION Min14 \l 1033 </w:instrText>
          </w:r>
          <w:r w:rsidR="00C81200">
            <w:fldChar w:fldCharType="separate"/>
          </w:r>
          <w:r w:rsidR="00B93CFF">
            <w:rPr>
              <w:noProof/>
            </w:rPr>
            <w:t>(Ministry of Education, 2014)</w:t>
          </w:r>
          <w:r w:rsidR="00C81200">
            <w:fldChar w:fldCharType="end"/>
          </w:r>
        </w:sdtContent>
      </w:sdt>
      <w:r w:rsidR="00A33C95">
        <w:t>.</w:t>
      </w:r>
      <w:r w:rsidR="002B0877">
        <w:t xml:space="preserve"> </w:t>
      </w:r>
      <w:r w:rsidR="00A33C95">
        <w:t xml:space="preserve"> </w:t>
      </w:r>
      <w:r w:rsidR="00BA6249">
        <w:t>According to Ministry of Health m</w:t>
      </w:r>
      <w:r w:rsidR="00890F4E">
        <w:t xml:space="preserve">ore than 5000 health service </w:t>
      </w:r>
      <w:r w:rsidR="00BA6249">
        <w:t>centers are established.</w:t>
      </w:r>
      <w:r w:rsidR="004107A9">
        <w:t xml:space="preserve"> These human and institutional resources can help to achieve goal in a cost effective way. </w:t>
      </w:r>
    </w:p>
    <w:p w:rsidR="009144C7" w:rsidRDefault="00FA69C9" w:rsidP="00613F42">
      <w:pPr>
        <w:jc w:val="both"/>
      </w:pPr>
      <w:r w:rsidRPr="00FA69C9">
        <w:rPr>
          <w:b/>
          <w:bCs/>
        </w:rPr>
        <w:t>Community</w:t>
      </w:r>
      <w:r>
        <w:rPr>
          <w:b/>
          <w:bCs/>
        </w:rPr>
        <w:t xml:space="preserve"> ICT </w:t>
      </w:r>
      <w:r w:rsidRPr="00FA69C9">
        <w:rPr>
          <w:b/>
          <w:bCs/>
        </w:rPr>
        <w:t>Learning Center:</w:t>
      </w:r>
      <w:r>
        <w:t xml:space="preserve"> </w:t>
      </w:r>
      <w:r w:rsidR="00832842">
        <w:t xml:space="preserve"> Nepal has </w:t>
      </w:r>
      <w:r w:rsidR="000E4B25">
        <w:t xml:space="preserve">13 </w:t>
      </w:r>
      <w:r w:rsidR="00832842">
        <w:t xml:space="preserve">years of experience </w:t>
      </w:r>
      <w:r w:rsidR="000E4B25">
        <w:t>of having</w:t>
      </w:r>
      <w:r w:rsidR="00420BC3">
        <w:t xml:space="preserve"> community Tele Centers</w:t>
      </w:r>
      <w:r w:rsidR="000F433C">
        <w:t xml:space="preserve"> </w:t>
      </w:r>
      <w:sdt>
        <w:sdtPr>
          <w:id w:val="-73440170"/>
          <w:citation/>
        </w:sdtPr>
        <w:sdtEndPr/>
        <w:sdtContent>
          <w:r w:rsidR="000F433C">
            <w:fldChar w:fldCharType="begin"/>
          </w:r>
          <w:r w:rsidR="000F433C">
            <w:instrText xml:space="preserve">CITATION Jef14 \l 1033 </w:instrText>
          </w:r>
          <w:r w:rsidR="000F433C">
            <w:fldChar w:fldCharType="separate"/>
          </w:r>
          <w:r w:rsidR="00B93CFF">
            <w:rPr>
              <w:noProof/>
            </w:rPr>
            <w:t>(Lee, 2014)</w:t>
          </w:r>
          <w:r w:rsidR="000F433C">
            <w:fldChar w:fldCharType="end"/>
          </w:r>
        </w:sdtContent>
      </w:sdt>
      <w:r w:rsidR="000E4B25">
        <w:t xml:space="preserve"> </w:t>
      </w:r>
      <w:r w:rsidR="00420BC3">
        <w:t xml:space="preserve">. </w:t>
      </w:r>
      <w:r w:rsidR="00A65B04">
        <w:t>There are 525 Tele Centers</w:t>
      </w:r>
      <w:r w:rsidR="00420BC3">
        <w:t xml:space="preserve"> currently are in function</w:t>
      </w:r>
      <w:r w:rsidR="00E64FA8">
        <w:t>. Reports</w:t>
      </w:r>
      <w:r w:rsidR="00420BC3">
        <w:t xml:space="preserve"> say </w:t>
      </w:r>
      <w:r w:rsidR="000E4B25">
        <w:t xml:space="preserve">must of them </w:t>
      </w:r>
      <w:r w:rsidR="0053756C">
        <w:t xml:space="preserve">are </w:t>
      </w:r>
      <w:r w:rsidR="000E4B25">
        <w:t>using</w:t>
      </w:r>
      <w:r w:rsidR="00420BC3">
        <w:t xml:space="preserve"> </w:t>
      </w:r>
      <w:r w:rsidR="000E4B25">
        <w:t>outdated</w:t>
      </w:r>
      <w:r w:rsidR="00420BC3">
        <w:t xml:space="preserve"> technologies </w:t>
      </w:r>
      <w:r w:rsidR="000E4B25">
        <w:t>and that should be upgraded</w:t>
      </w:r>
      <w:r w:rsidR="009C6193">
        <w:t xml:space="preserve"> </w:t>
      </w:r>
      <w:sdt>
        <w:sdtPr>
          <w:id w:val="1108087520"/>
          <w:citation/>
        </w:sdtPr>
        <w:sdtEndPr/>
        <w:sdtContent>
          <w:r w:rsidR="009C6193">
            <w:fldChar w:fldCharType="begin"/>
          </w:r>
          <w:r w:rsidR="009C6193">
            <w:instrText xml:space="preserve">CITATION Gau17 \l 1033 </w:instrText>
          </w:r>
          <w:r w:rsidR="009C6193">
            <w:fldChar w:fldCharType="separate"/>
          </w:r>
          <w:r w:rsidR="00B93CFF">
            <w:rPr>
              <w:noProof/>
            </w:rPr>
            <w:t>(Gautam)</w:t>
          </w:r>
          <w:r w:rsidR="009C6193">
            <w:fldChar w:fldCharType="end"/>
          </w:r>
        </w:sdtContent>
      </w:sdt>
      <w:r w:rsidR="000E4B25">
        <w:t xml:space="preserve">. </w:t>
      </w:r>
      <w:r w:rsidR="00E64FA8">
        <w:t xml:space="preserve"> </w:t>
      </w:r>
    </w:p>
    <w:p w:rsidR="003C3794" w:rsidRDefault="009144C7" w:rsidP="00613F42">
      <w:pPr>
        <w:jc w:val="both"/>
      </w:pPr>
      <w:r>
        <w:t>These centers should not be limited only for providing Internet services but also need to extended as</w:t>
      </w:r>
      <w:r w:rsidR="00091720">
        <w:t xml:space="preserve"> skill sharing and training centers.</w:t>
      </w:r>
    </w:p>
    <w:sdt>
      <w:sdtPr>
        <w:rPr>
          <w:b/>
          <w:bCs/>
        </w:rPr>
        <w:id w:val="-1068572982"/>
        <w:docPartObj>
          <w:docPartGallery w:val="Bibliographies"/>
          <w:docPartUnique/>
        </w:docPartObj>
      </w:sdtPr>
      <w:sdtEndPr>
        <w:rPr>
          <w:b w:val="0"/>
          <w:bCs w:val="0"/>
        </w:rPr>
      </w:sdtEndPr>
      <w:sdtContent>
        <w:p w:rsidR="00154B0B" w:rsidRPr="00533099" w:rsidRDefault="00154B0B" w:rsidP="00154B0B">
          <w:pPr>
            <w:jc w:val="both"/>
            <w:rPr>
              <w:b/>
              <w:bCs/>
            </w:rPr>
          </w:pPr>
          <w:r>
            <w:rPr>
              <w:b/>
              <w:bCs/>
            </w:rPr>
            <w:t>Reference</w:t>
          </w:r>
          <w:r w:rsidR="00350E87">
            <w:rPr>
              <w:b/>
              <w:bCs/>
            </w:rPr>
            <w:t>s</w:t>
          </w:r>
        </w:p>
        <w:p w:rsidR="00B93CFF" w:rsidRDefault="003C3794" w:rsidP="00B93CFF">
          <w:pPr>
            <w:pStyle w:val="Bibliography"/>
            <w:ind w:left="720" w:hanging="720"/>
            <w:rPr>
              <w:noProof/>
            </w:rPr>
          </w:pPr>
          <w:r>
            <w:fldChar w:fldCharType="begin"/>
          </w:r>
          <w:r>
            <w:instrText xml:space="preserve"> BIBLIOGRAPHY </w:instrText>
          </w:r>
          <w:r>
            <w:fldChar w:fldCharType="separate"/>
          </w:r>
          <w:r w:rsidR="00B93CFF">
            <w:rPr>
              <w:noProof/>
            </w:rPr>
            <w:t xml:space="preserve">(2014/15). </w:t>
          </w:r>
          <w:r w:rsidR="00B93CFF">
            <w:rPr>
              <w:i/>
              <w:iCs/>
              <w:noProof/>
            </w:rPr>
            <w:t>Annual Household Survey Report.</w:t>
          </w:r>
          <w:r w:rsidR="00B93CFF">
            <w:rPr>
              <w:noProof/>
            </w:rPr>
            <w:t xml:space="preserve"> Central Bureau of Statistics.</w:t>
          </w:r>
        </w:p>
        <w:p w:rsidR="00B93CFF" w:rsidRDefault="00B93CFF" w:rsidP="00B93CFF">
          <w:pPr>
            <w:pStyle w:val="Bibliography"/>
            <w:ind w:left="720" w:hanging="720"/>
            <w:rPr>
              <w:noProof/>
            </w:rPr>
          </w:pPr>
          <w:r>
            <w:rPr>
              <w:noProof/>
            </w:rPr>
            <w:t xml:space="preserve">Gautam, Y. (n.d.). </w:t>
          </w:r>
          <w:r>
            <w:rPr>
              <w:i/>
              <w:iCs/>
              <w:noProof/>
            </w:rPr>
            <w:t>Deshvarka Telecenter Bekame</w:t>
          </w:r>
          <w:r>
            <w:rPr>
              <w:noProof/>
            </w:rPr>
            <w:t>. Retrieved 07 16, 2017, from Clickmandu.com: http://www.clickmandu.com/2016/10/1056.html</w:t>
          </w:r>
        </w:p>
        <w:p w:rsidR="00B93CFF" w:rsidRDefault="00B93CFF" w:rsidP="00B93CFF">
          <w:pPr>
            <w:pStyle w:val="Bibliography"/>
            <w:ind w:left="720" w:hanging="720"/>
            <w:rPr>
              <w:noProof/>
            </w:rPr>
          </w:pPr>
          <w:r>
            <w:rPr>
              <w:noProof/>
            </w:rPr>
            <w:t xml:space="preserve">Lee, J. (2014). Sustaining a Nepali Telecenter: An enthnographic Study using Activity Theory. </w:t>
          </w:r>
          <w:r>
            <w:rPr>
              <w:i/>
              <w:iCs/>
              <w:noProof/>
            </w:rPr>
            <w:t>International Journal of Education and Development using Information and Communication Technology</w:t>
          </w:r>
          <w:r>
            <w:rPr>
              <w:noProof/>
            </w:rPr>
            <w:t>, 41-62.</w:t>
          </w:r>
        </w:p>
        <w:p w:rsidR="00B93CFF" w:rsidRDefault="00B93CFF" w:rsidP="00B93CFF">
          <w:pPr>
            <w:pStyle w:val="Bibliography"/>
            <w:ind w:left="720" w:hanging="720"/>
            <w:rPr>
              <w:noProof/>
            </w:rPr>
          </w:pPr>
          <w:r>
            <w:rPr>
              <w:noProof/>
            </w:rPr>
            <w:t xml:space="preserve">Ministry of Education. (2014). </w:t>
          </w:r>
          <w:r>
            <w:rPr>
              <w:i/>
              <w:iCs/>
              <w:noProof/>
            </w:rPr>
            <w:t>Nepal Education in Figures.</w:t>
          </w:r>
          <w:r>
            <w:rPr>
              <w:noProof/>
            </w:rPr>
            <w:t xml:space="preserve"> Retrieved 07 16, 2017, from http://www.moe.gov.np/assets/uploads/files/Nepal_Education_Figure_2014.pdf</w:t>
          </w:r>
        </w:p>
        <w:p w:rsidR="00B93CFF" w:rsidRDefault="00B93CFF" w:rsidP="00B93CFF">
          <w:pPr>
            <w:pStyle w:val="Bibliography"/>
            <w:ind w:left="720" w:hanging="720"/>
            <w:rPr>
              <w:noProof/>
            </w:rPr>
          </w:pPr>
          <w:r>
            <w:rPr>
              <w:noProof/>
            </w:rPr>
            <w:t xml:space="preserve">Panthhe, K. P. (2015). </w:t>
          </w:r>
          <w:r>
            <w:rPr>
              <w:i/>
              <w:iCs/>
              <w:noProof/>
            </w:rPr>
            <w:t>RURAL URBAN EDUCATION IN NEPAL.</w:t>
          </w:r>
          <w:r>
            <w:rPr>
              <w:noProof/>
            </w:rPr>
            <w:t xml:space="preserve"> </w:t>
          </w:r>
        </w:p>
        <w:p w:rsidR="00B93CFF" w:rsidRDefault="00B93CFF" w:rsidP="00B93CFF">
          <w:pPr>
            <w:pStyle w:val="Bibliography"/>
            <w:ind w:left="720" w:hanging="720"/>
            <w:rPr>
              <w:noProof/>
            </w:rPr>
          </w:pPr>
          <w:r>
            <w:rPr>
              <w:noProof/>
            </w:rPr>
            <w:t>Sagena, U. (2015). Bogor ICT Volunteers School Programme.</w:t>
          </w:r>
        </w:p>
        <w:p w:rsidR="003C3794" w:rsidRDefault="003C3794" w:rsidP="00B93CFF">
          <w:pPr>
            <w:pStyle w:val="Bibliography"/>
            <w:ind w:left="720" w:hanging="720"/>
          </w:pPr>
          <w:r>
            <w:rPr>
              <w:b/>
              <w:bCs/>
            </w:rPr>
            <w:fldChar w:fldCharType="end"/>
          </w:r>
        </w:p>
      </w:sdtContent>
    </w:sdt>
    <w:p w:rsidR="00A65B04" w:rsidRDefault="00C81200" w:rsidP="003C3794">
      <w:pPr>
        <w:tabs>
          <w:tab w:val="left" w:pos="4150"/>
        </w:tabs>
        <w:jc w:val="both"/>
      </w:pPr>
      <w:r>
        <w:t xml:space="preserve"> </w:t>
      </w:r>
      <w:r w:rsidR="009144C7">
        <w:t xml:space="preserve">    </w:t>
      </w:r>
      <w:r w:rsidR="00E64FA8">
        <w:t xml:space="preserve">  </w:t>
      </w:r>
      <w:r w:rsidR="00A65B04">
        <w:t xml:space="preserve">   </w:t>
      </w:r>
      <w:r w:rsidR="003C3794">
        <w:tab/>
      </w:r>
    </w:p>
    <w:sectPr w:rsidR="00A65B04" w:rsidSect="001F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2871"/>
    <w:multiLevelType w:val="multilevel"/>
    <w:tmpl w:val="7E3E9E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651E75AB"/>
    <w:multiLevelType w:val="hybridMultilevel"/>
    <w:tmpl w:val="C1FA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64"/>
    <w:rsid w:val="00002AE4"/>
    <w:rsid w:val="000053B3"/>
    <w:rsid w:val="00005D17"/>
    <w:rsid w:val="000226FE"/>
    <w:rsid w:val="00030512"/>
    <w:rsid w:val="0003586A"/>
    <w:rsid w:val="0004067A"/>
    <w:rsid w:val="000415E5"/>
    <w:rsid w:val="00046FD4"/>
    <w:rsid w:val="00057658"/>
    <w:rsid w:val="00060249"/>
    <w:rsid w:val="0006140F"/>
    <w:rsid w:val="00065149"/>
    <w:rsid w:val="00065AFF"/>
    <w:rsid w:val="00065BE9"/>
    <w:rsid w:val="0008681B"/>
    <w:rsid w:val="00091720"/>
    <w:rsid w:val="000B6845"/>
    <w:rsid w:val="000C6D13"/>
    <w:rsid w:val="000C7FFA"/>
    <w:rsid w:val="000D4CCF"/>
    <w:rsid w:val="000D526B"/>
    <w:rsid w:val="000E4B25"/>
    <w:rsid w:val="000F271C"/>
    <w:rsid w:val="000F3D00"/>
    <w:rsid w:val="000F433C"/>
    <w:rsid w:val="000F5B86"/>
    <w:rsid w:val="00100E5C"/>
    <w:rsid w:val="00126F86"/>
    <w:rsid w:val="00132B43"/>
    <w:rsid w:val="001410C4"/>
    <w:rsid w:val="00150122"/>
    <w:rsid w:val="00154B0B"/>
    <w:rsid w:val="00154DAC"/>
    <w:rsid w:val="001613B9"/>
    <w:rsid w:val="0016597D"/>
    <w:rsid w:val="00172CB7"/>
    <w:rsid w:val="001754E1"/>
    <w:rsid w:val="0017690E"/>
    <w:rsid w:val="0019442B"/>
    <w:rsid w:val="001C253E"/>
    <w:rsid w:val="001D4FEF"/>
    <w:rsid w:val="001F2B3B"/>
    <w:rsid w:val="002116A7"/>
    <w:rsid w:val="00226E01"/>
    <w:rsid w:val="0023144E"/>
    <w:rsid w:val="002450F8"/>
    <w:rsid w:val="002502FB"/>
    <w:rsid w:val="00253F88"/>
    <w:rsid w:val="00284359"/>
    <w:rsid w:val="0029284C"/>
    <w:rsid w:val="002977C5"/>
    <w:rsid w:val="002A3330"/>
    <w:rsid w:val="002B0877"/>
    <w:rsid w:val="002C3052"/>
    <w:rsid w:val="002C75D9"/>
    <w:rsid w:val="002E41D0"/>
    <w:rsid w:val="0030339E"/>
    <w:rsid w:val="00337144"/>
    <w:rsid w:val="00350C95"/>
    <w:rsid w:val="00350E87"/>
    <w:rsid w:val="00353410"/>
    <w:rsid w:val="00354962"/>
    <w:rsid w:val="00356B00"/>
    <w:rsid w:val="00366945"/>
    <w:rsid w:val="00376C6E"/>
    <w:rsid w:val="00385F1B"/>
    <w:rsid w:val="00397BCD"/>
    <w:rsid w:val="00397FBE"/>
    <w:rsid w:val="003A5C9E"/>
    <w:rsid w:val="003A5F0A"/>
    <w:rsid w:val="003C3794"/>
    <w:rsid w:val="003C4EAC"/>
    <w:rsid w:val="003F0A5A"/>
    <w:rsid w:val="003F547A"/>
    <w:rsid w:val="003F7237"/>
    <w:rsid w:val="00406798"/>
    <w:rsid w:val="004107A9"/>
    <w:rsid w:val="00415CE1"/>
    <w:rsid w:val="00420BC3"/>
    <w:rsid w:val="004256D9"/>
    <w:rsid w:val="00447862"/>
    <w:rsid w:val="004568EC"/>
    <w:rsid w:val="00472BEF"/>
    <w:rsid w:val="00477C9A"/>
    <w:rsid w:val="0048119B"/>
    <w:rsid w:val="004A4FC5"/>
    <w:rsid w:val="004B29C3"/>
    <w:rsid w:val="004C0A2B"/>
    <w:rsid w:val="004E0D73"/>
    <w:rsid w:val="004F48F7"/>
    <w:rsid w:val="005144EA"/>
    <w:rsid w:val="00521392"/>
    <w:rsid w:val="00523C29"/>
    <w:rsid w:val="0052402E"/>
    <w:rsid w:val="00527AA7"/>
    <w:rsid w:val="00533099"/>
    <w:rsid w:val="0053756C"/>
    <w:rsid w:val="00546BF2"/>
    <w:rsid w:val="005572E4"/>
    <w:rsid w:val="00561DB6"/>
    <w:rsid w:val="00565625"/>
    <w:rsid w:val="005A0B4D"/>
    <w:rsid w:val="005D2437"/>
    <w:rsid w:val="005D2A0A"/>
    <w:rsid w:val="005E0D15"/>
    <w:rsid w:val="005F25C4"/>
    <w:rsid w:val="0060662B"/>
    <w:rsid w:val="00613F42"/>
    <w:rsid w:val="00617FF4"/>
    <w:rsid w:val="00660F2B"/>
    <w:rsid w:val="0066322B"/>
    <w:rsid w:val="0069313F"/>
    <w:rsid w:val="006A082E"/>
    <w:rsid w:val="006A6A99"/>
    <w:rsid w:val="006A7768"/>
    <w:rsid w:val="006B6D40"/>
    <w:rsid w:val="006D5275"/>
    <w:rsid w:val="006E62A8"/>
    <w:rsid w:val="00712D77"/>
    <w:rsid w:val="00724464"/>
    <w:rsid w:val="007773DA"/>
    <w:rsid w:val="00784C59"/>
    <w:rsid w:val="00784E80"/>
    <w:rsid w:val="0079280F"/>
    <w:rsid w:val="00797957"/>
    <w:rsid w:val="007A7163"/>
    <w:rsid w:val="007B1266"/>
    <w:rsid w:val="007E465E"/>
    <w:rsid w:val="007F679D"/>
    <w:rsid w:val="00830FA7"/>
    <w:rsid w:val="00832842"/>
    <w:rsid w:val="00846379"/>
    <w:rsid w:val="00852428"/>
    <w:rsid w:val="00854D86"/>
    <w:rsid w:val="00861C98"/>
    <w:rsid w:val="00863490"/>
    <w:rsid w:val="00867C6C"/>
    <w:rsid w:val="00874A79"/>
    <w:rsid w:val="00883B13"/>
    <w:rsid w:val="00890F4E"/>
    <w:rsid w:val="008A68E0"/>
    <w:rsid w:val="008C2DA5"/>
    <w:rsid w:val="008D433D"/>
    <w:rsid w:val="00902EF0"/>
    <w:rsid w:val="009068BE"/>
    <w:rsid w:val="009140E2"/>
    <w:rsid w:val="009144C7"/>
    <w:rsid w:val="00924334"/>
    <w:rsid w:val="00933DA5"/>
    <w:rsid w:val="009375B7"/>
    <w:rsid w:val="009513B6"/>
    <w:rsid w:val="00967D0F"/>
    <w:rsid w:val="00974140"/>
    <w:rsid w:val="009778D2"/>
    <w:rsid w:val="00981A5E"/>
    <w:rsid w:val="009A09D8"/>
    <w:rsid w:val="009B0FF1"/>
    <w:rsid w:val="009B1596"/>
    <w:rsid w:val="009B3E0C"/>
    <w:rsid w:val="009C6193"/>
    <w:rsid w:val="009D5D7F"/>
    <w:rsid w:val="009E3CEC"/>
    <w:rsid w:val="00A07ADD"/>
    <w:rsid w:val="00A305C8"/>
    <w:rsid w:val="00A33C95"/>
    <w:rsid w:val="00A52CD2"/>
    <w:rsid w:val="00A65B04"/>
    <w:rsid w:val="00AA3345"/>
    <w:rsid w:val="00AB17E2"/>
    <w:rsid w:val="00AB5042"/>
    <w:rsid w:val="00AF0CF6"/>
    <w:rsid w:val="00B04719"/>
    <w:rsid w:val="00B1500B"/>
    <w:rsid w:val="00B3140A"/>
    <w:rsid w:val="00B37AA4"/>
    <w:rsid w:val="00B44785"/>
    <w:rsid w:val="00B45F3A"/>
    <w:rsid w:val="00B57FF2"/>
    <w:rsid w:val="00B616A3"/>
    <w:rsid w:val="00B6222D"/>
    <w:rsid w:val="00B64611"/>
    <w:rsid w:val="00B65FD6"/>
    <w:rsid w:val="00B71D0C"/>
    <w:rsid w:val="00B77EEA"/>
    <w:rsid w:val="00B93CFF"/>
    <w:rsid w:val="00BA6249"/>
    <w:rsid w:val="00BB4345"/>
    <w:rsid w:val="00BB699D"/>
    <w:rsid w:val="00BC792A"/>
    <w:rsid w:val="00BE52BA"/>
    <w:rsid w:val="00BE670C"/>
    <w:rsid w:val="00C275D6"/>
    <w:rsid w:val="00C31A33"/>
    <w:rsid w:val="00C32F65"/>
    <w:rsid w:val="00C4083C"/>
    <w:rsid w:val="00C53969"/>
    <w:rsid w:val="00C66BF4"/>
    <w:rsid w:val="00C81200"/>
    <w:rsid w:val="00C86DD5"/>
    <w:rsid w:val="00C969A1"/>
    <w:rsid w:val="00CB3B91"/>
    <w:rsid w:val="00CB3FD0"/>
    <w:rsid w:val="00CC77B3"/>
    <w:rsid w:val="00CE1AA2"/>
    <w:rsid w:val="00CE312C"/>
    <w:rsid w:val="00D01E94"/>
    <w:rsid w:val="00D057C2"/>
    <w:rsid w:val="00D06595"/>
    <w:rsid w:val="00D142AA"/>
    <w:rsid w:val="00D21D4E"/>
    <w:rsid w:val="00D334CD"/>
    <w:rsid w:val="00D36BDF"/>
    <w:rsid w:val="00D4285F"/>
    <w:rsid w:val="00D51625"/>
    <w:rsid w:val="00D53E3C"/>
    <w:rsid w:val="00D54882"/>
    <w:rsid w:val="00D71264"/>
    <w:rsid w:val="00D72921"/>
    <w:rsid w:val="00D76201"/>
    <w:rsid w:val="00D778E0"/>
    <w:rsid w:val="00D853CE"/>
    <w:rsid w:val="00D90D37"/>
    <w:rsid w:val="00D9122A"/>
    <w:rsid w:val="00DA711C"/>
    <w:rsid w:val="00DB40A2"/>
    <w:rsid w:val="00DB4DF5"/>
    <w:rsid w:val="00DD4B60"/>
    <w:rsid w:val="00DE3B40"/>
    <w:rsid w:val="00E01757"/>
    <w:rsid w:val="00E17CAB"/>
    <w:rsid w:val="00E21328"/>
    <w:rsid w:val="00E263A7"/>
    <w:rsid w:val="00E32821"/>
    <w:rsid w:val="00E339B4"/>
    <w:rsid w:val="00E36F1E"/>
    <w:rsid w:val="00E37159"/>
    <w:rsid w:val="00E42822"/>
    <w:rsid w:val="00E5091F"/>
    <w:rsid w:val="00E64FA8"/>
    <w:rsid w:val="00E708AE"/>
    <w:rsid w:val="00E82F8D"/>
    <w:rsid w:val="00E949D8"/>
    <w:rsid w:val="00E96869"/>
    <w:rsid w:val="00E96A21"/>
    <w:rsid w:val="00EA1CCD"/>
    <w:rsid w:val="00EA6901"/>
    <w:rsid w:val="00EC0F7C"/>
    <w:rsid w:val="00EC59FB"/>
    <w:rsid w:val="00ED389B"/>
    <w:rsid w:val="00ED6E6D"/>
    <w:rsid w:val="00EE1351"/>
    <w:rsid w:val="00EF1AE1"/>
    <w:rsid w:val="00EF20C4"/>
    <w:rsid w:val="00EF3300"/>
    <w:rsid w:val="00F00DFB"/>
    <w:rsid w:val="00F13B60"/>
    <w:rsid w:val="00F20D32"/>
    <w:rsid w:val="00F32D80"/>
    <w:rsid w:val="00F60968"/>
    <w:rsid w:val="00F61A9B"/>
    <w:rsid w:val="00F63DDA"/>
    <w:rsid w:val="00F67EB4"/>
    <w:rsid w:val="00F706BA"/>
    <w:rsid w:val="00F735AF"/>
    <w:rsid w:val="00F770AF"/>
    <w:rsid w:val="00F7788C"/>
    <w:rsid w:val="00F93AFF"/>
    <w:rsid w:val="00FA57A0"/>
    <w:rsid w:val="00FA69C9"/>
    <w:rsid w:val="00FB615A"/>
    <w:rsid w:val="00FC1060"/>
    <w:rsid w:val="00FD0282"/>
    <w:rsid w:val="00FD2D0D"/>
    <w:rsid w:val="00FE1364"/>
    <w:rsid w:val="00FE3B06"/>
    <w:rsid w:val="00FE442B"/>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7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64"/>
    <w:pPr>
      <w:ind w:left="720"/>
      <w:contextualSpacing/>
    </w:pPr>
  </w:style>
  <w:style w:type="table" w:styleId="TableGrid">
    <w:name w:val="Table Grid"/>
    <w:basedOn w:val="TableNormal"/>
    <w:uiPriority w:val="59"/>
    <w:rsid w:val="0061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A2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96A21"/>
    <w:rPr>
      <w:rFonts w:ascii="Tahoma" w:hAnsi="Tahoma" w:cs="Tahoma"/>
      <w:sz w:val="16"/>
      <w:szCs w:val="14"/>
    </w:rPr>
  </w:style>
  <w:style w:type="character" w:customStyle="1" w:styleId="Heading1Char">
    <w:name w:val="Heading 1 Char"/>
    <w:basedOn w:val="DefaultParagraphFont"/>
    <w:link w:val="Heading1"/>
    <w:uiPriority w:val="9"/>
    <w:rsid w:val="003C3794"/>
    <w:rPr>
      <w:rFonts w:asciiTheme="majorHAnsi" w:eastAsiaTheme="majorEastAsia" w:hAnsiTheme="majorHAnsi" w:cstheme="majorBidi"/>
      <w:b/>
      <w:bCs/>
      <w:color w:val="365F91" w:themeColor="accent1" w:themeShade="BF"/>
      <w:sz w:val="28"/>
      <w:szCs w:val="28"/>
      <w:lang w:eastAsia="ja-JP" w:bidi="ar-SA"/>
    </w:rPr>
  </w:style>
  <w:style w:type="paragraph" w:styleId="Bibliography">
    <w:name w:val="Bibliography"/>
    <w:basedOn w:val="Normal"/>
    <w:next w:val="Normal"/>
    <w:uiPriority w:val="37"/>
    <w:unhideWhenUsed/>
    <w:rsid w:val="003C3794"/>
  </w:style>
  <w:style w:type="paragraph" w:styleId="Caption">
    <w:name w:val="caption"/>
    <w:basedOn w:val="Normal"/>
    <w:next w:val="Normal"/>
    <w:uiPriority w:val="35"/>
    <w:unhideWhenUsed/>
    <w:qFormat/>
    <w:rsid w:val="00A52CD2"/>
    <w:pPr>
      <w:spacing w:line="240" w:lineRule="auto"/>
    </w:pPr>
    <w:rPr>
      <w:b/>
      <w:bCs/>
      <w:color w:val="4F81BD" w:themeColor="accent1"/>
      <w:sz w:val="18"/>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79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64"/>
    <w:pPr>
      <w:ind w:left="720"/>
      <w:contextualSpacing/>
    </w:pPr>
  </w:style>
  <w:style w:type="table" w:styleId="TableGrid">
    <w:name w:val="Table Grid"/>
    <w:basedOn w:val="TableNormal"/>
    <w:uiPriority w:val="59"/>
    <w:rsid w:val="00617F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6A21"/>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E96A21"/>
    <w:rPr>
      <w:rFonts w:ascii="Tahoma" w:hAnsi="Tahoma" w:cs="Tahoma"/>
      <w:sz w:val="16"/>
      <w:szCs w:val="14"/>
    </w:rPr>
  </w:style>
  <w:style w:type="character" w:customStyle="1" w:styleId="Heading1Char">
    <w:name w:val="Heading 1 Char"/>
    <w:basedOn w:val="DefaultParagraphFont"/>
    <w:link w:val="Heading1"/>
    <w:uiPriority w:val="9"/>
    <w:rsid w:val="003C3794"/>
    <w:rPr>
      <w:rFonts w:asciiTheme="majorHAnsi" w:eastAsiaTheme="majorEastAsia" w:hAnsiTheme="majorHAnsi" w:cstheme="majorBidi"/>
      <w:b/>
      <w:bCs/>
      <w:color w:val="365F91" w:themeColor="accent1" w:themeShade="BF"/>
      <w:sz w:val="28"/>
      <w:szCs w:val="28"/>
      <w:lang w:eastAsia="ja-JP" w:bidi="ar-SA"/>
    </w:rPr>
  </w:style>
  <w:style w:type="paragraph" w:styleId="Bibliography">
    <w:name w:val="Bibliography"/>
    <w:basedOn w:val="Normal"/>
    <w:next w:val="Normal"/>
    <w:uiPriority w:val="37"/>
    <w:unhideWhenUsed/>
    <w:rsid w:val="003C3794"/>
  </w:style>
  <w:style w:type="paragraph" w:styleId="Caption">
    <w:name w:val="caption"/>
    <w:basedOn w:val="Normal"/>
    <w:next w:val="Normal"/>
    <w:uiPriority w:val="35"/>
    <w:unhideWhenUsed/>
    <w:qFormat/>
    <w:rsid w:val="00A52CD2"/>
    <w:pPr>
      <w:spacing w:line="240" w:lineRule="auto"/>
    </w:pPr>
    <w:rPr>
      <w:b/>
      <w:bCs/>
      <w:color w:val="4F81BD" w:themeColor="accen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hart" Target="charts/chart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edia%20Chautari\Desktop\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277227870146"/>
          <c:y val="0.0870785857650146"/>
          <c:w val="0.632360567405445"/>
          <c:h val="0.716437857032577"/>
        </c:manualLayout>
      </c:layout>
      <c:barChart>
        <c:barDir val="col"/>
        <c:grouping val="clustered"/>
        <c:varyColors val="0"/>
        <c:ser>
          <c:idx val="0"/>
          <c:order val="0"/>
          <c:tx>
            <c:strRef>
              <c:f>Sheet1!$A$2</c:f>
              <c:strCache>
                <c:ptCount val="1"/>
                <c:pt idx="0">
                  <c:v>Population</c:v>
                </c:pt>
              </c:strCache>
            </c:strRef>
          </c:tx>
          <c:invertIfNegative val="0"/>
          <c:dLbls>
            <c:dLbl>
              <c:idx val="0"/>
              <c:layout/>
              <c:tx>
                <c:rich>
                  <a:bodyPr/>
                  <a:lstStyle/>
                  <a:p>
                    <a:r>
                      <a:rPr lang="en-US" sz="700"/>
                      <a:t>83%</a:t>
                    </a:r>
                  </a:p>
                </c:rich>
              </c:tx>
              <c:showLegendKey val="0"/>
              <c:showVal val="1"/>
              <c:showCatName val="0"/>
              <c:showSerName val="0"/>
              <c:showPercent val="0"/>
              <c:showBubbleSize val="0"/>
            </c:dLbl>
            <c:dLbl>
              <c:idx val="1"/>
              <c:layout/>
              <c:tx>
                <c:rich>
                  <a:bodyPr/>
                  <a:lstStyle/>
                  <a:p>
                    <a:r>
                      <a:rPr lang="en-US" sz="700"/>
                      <a:t>17%</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Rural</c:v>
                </c:pt>
                <c:pt idx="1">
                  <c:v>Urban</c:v>
                </c:pt>
              </c:strCache>
            </c:strRef>
          </c:cat>
          <c:val>
            <c:numRef>
              <c:f>Sheet1!$B$2:$C$2</c:f>
              <c:numCache>
                <c:formatCode>0%</c:formatCode>
                <c:ptCount val="2"/>
                <c:pt idx="0">
                  <c:v>0.83</c:v>
                </c:pt>
                <c:pt idx="1">
                  <c:v>0.17</c:v>
                </c:pt>
              </c:numCache>
            </c:numRef>
          </c:val>
        </c:ser>
        <c:ser>
          <c:idx val="1"/>
          <c:order val="1"/>
          <c:tx>
            <c:strRef>
              <c:f>Sheet1!$A$3</c:f>
              <c:strCache>
                <c:ptCount val="1"/>
                <c:pt idx="0">
                  <c:v>Internet Users</c:v>
                </c:pt>
              </c:strCache>
            </c:strRef>
          </c:tx>
          <c:invertIfNegative val="0"/>
          <c:dLbls>
            <c:dLbl>
              <c:idx val="0"/>
              <c:layout/>
              <c:tx>
                <c:rich>
                  <a:bodyPr/>
                  <a:lstStyle/>
                  <a:p>
                    <a:r>
                      <a:rPr lang="en-US" sz="700"/>
                      <a:t>5.40%</a:t>
                    </a:r>
                  </a:p>
                </c:rich>
              </c:tx>
              <c:showLegendKey val="0"/>
              <c:showVal val="1"/>
              <c:showCatName val="0"/>
              <c:showSerName val="0"/>
              <c:showPercent val="0"/>
              <c:showBubbleSize val="0"/>
            </c:dLbl>
            <c:dLbl>
              <c:idx val="1"/>
              <c:layout/>
              <c:tx>
                <c:rich>
                  <a:bodyPr/>
                  <a:lstStyle/>
                  <a:p>
                    <a:r>
                      <a:rPr lang="en-US" sz="700"/>
                      <a:t>17.30%</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Sheet1!$B$1:$C$1</c:f>
              <c:strCache>
                <c:ptCount val="2"/>
                <c:pt idx="0">
                  <c:v>Rural</c:v>
                </c:pt>
                <c:pt idx="1">
                  <c:v>Urban</c:v>
                </c:pt>
              </c:strCache>
            </c:strRef>
          </c:cat>
          <c:val>
            <c:numRef>
              <c:f>Sheet1!$B$3:$C$3</c:f>
              <c:numCache>
                <c:formatCode>0.00%</c:formatCode>
                <c:ptCount val="2"/>
                <c:pt idx="0">
                  <c:v>0.054</c:v>
                </c:pt>
                <c:pt idx="1">
                  <c:v>0.173</c:v>
                </c:pt>
              </c:numCache>
            </c:numRef>
          </c:val>
        </c:ser>
        <c:dLbls>
          <c:showLegendKey val="0"/>
          <c:showVal val="0"/>
          <c:showCatName val="0"/>
          <c:showSerName val="0"/>
          <c:showPercent val="0"/>
          <c:showBubbleSize val="0"/>
        </c:dLbls>
        <c:gapWidth val="150"/>
        <c:axId val="-2027014104"/>
        <c:axId val="2111655160"/>
      </c:barChart>
      <c:catAx>
        <c:axId val="-2027014104"/>
        <c:scaling>
          <c:orientation val="minMax"/>
        </c:scaling>
        <c:delete val="0"/>
        <c:axPos val="b"/>
        <c:majorTickMark val="out"/>
        <c:minorTickMark val="none"/>
        <c:tickLblPos val="nextTo"/>
        <c:crossAx val="2111655160"/>
        <c:crosses val="autoZero"/>
        <c:auto val="1"/>
        <c:lblAlgn val="ctr"/>
        <c:lblOffset val="100"/>
        <c:noMultiLvlLbl val="0"/>
      </c:catAx>
      <c:valAx>
        <c:axId val="2111655160"/>
        <c:scaling>
          <c:orientation val="minMax"/>
        </c:scaling>
        <c:delete val="0"/>
        <c:axPos val="l"/>
        <c:majorGridlines/>
        <c:numFmt formatCode="0%" sourceLinked="1"/>
        <c:majorTickMark val="out"/>
        <c:minorTickMark val="none"/>
        <c:tickLblPos val="nextTo"/>
        <c:crossAx val="-2027014104"/>
        <c:crosses val="autoZero"/>
        <c:crossBetween val="between"/>
      </c:valAx>
    </c:plotArea>
    <c:legend>
      <c:legendPos val="r"/>
      <c:legendEntry>
        <c:idx val="0"/>
        <c:txPr>
          <a:bodyPr/>
          <a:lstStyle/>
          <a:p>
            <a:pPr>
              <a:defRPr sz="700" baseline="0"/>
            </a:pPr>
            <a:endParaRPr lang="en-US"/>
          </a:p>
        </c:txPr>
      </c:legendEntry>
      <c:legendEntry>
        <c:idx val="1"/>
        <c:txPr>
          <a:bodyPr/>
          <a:lstStyle/>
          <a:p>
            <a:pPr>
              <a:defRPr sz="700" baseline="0"/>
            </a:pPr>
            <a:endParaRPr lang="en-US"/>
          </a:p>
        </c:txPr>
      </c:legendEntry>
      <c:layout>
        <c:manualLayout>
          <c:xMode val="edge"/>
          <c:yMode val="edge"/>
          <c:x val="0.753857076939107"/>
          <c:y val="0.358173228346457"/>
          <c:w val="0.22345861304199"/>
          <c:h val="0.369928053111008"/>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Pan15</b:Tag>
    <b:SourceType>Report</b:SourceType>
    <b:Guid>{090C7ED5-7435-4422-96E5-C519B82407D5}</b:Guid>
    <b:Author>
      <b:Author>
        <b:NameList>
          <b:Person>
            <b:Last>Panthhe</b:Last>
            <b:First>Kamal</b:First>
            <b:Middle>Prasad</b:Middle>
          </b:Person>
        </b:NameList>
      </b:Author>
    </b:Author>
    <b:Title>RURAL URBAN EDUCATION IN NEPAL</b:Title>
    <b:Year>2015</b:Year>
    <b:RefOrder>2</b:RefOrder>
  </b:Source>
  <b:Source>
    <b:Tag>Min14</b:Tag>
    <b:SourceType>DocumentFromInternetSite</b:SourceType>
    <b:Guid>{8B4A472F-F19A-4469-ADA6-01C6EFFF41F5}</b:Guid>
    <b:Title>Nepal Education in Figures</b:Title>
    <b:Year>2014</b:Year>
    <b:Author>
      <b:Author>
        <b:Corporate>Ministry of Education</b:Corporate>
      </b:Author>
    </b:Author>
    <b:YearAccessed>2017</b:YearAccessed>
    <b:MonthAccessed>07</b:MonthAccessed>
    <b:DayAccessed>16</b:DayAccessed>
    <b:URL>http://www.moe.gov.np/assets/uploads/files/Nepal_Education_Figure_2014.pdf</b:URL>
    <b:RefOrder>4</b:RefOrder>
  </b:Source>
  <b:Source>
    <b:Tag>Jef14</b:Tag>
    <b:SourceType>JournalArticle</b:SourceType>
    <b:Guid>{9D8641CF-736D-4400-B379-86CD0355D6EE}</b:Guid>
    <b:Title>Sustaining a Nepali Telecenter: An enthnographic Study using Activity Theory</b:Title>
    <b:Year>2014</b:Year>
    <b:Author>
      <b:Author>
        <b:NameList>
          <b:Person>
            <b:Last>Lee</b:Last>
            <b:First>Jeffrey</b:First>
          </b:Person>
        </b:NameList>
      </b:Author>
    </b:Author>
    <b:JournalName>International Journal of Education and Development using Information and Communication Technology</b:JournalName>
    <b:Pages>41-62</b:Pages>
    <b:RefOrder>5</b:RefOrder>
  </b:Source>
  <b:Source>
    <b:Tag>Gau17</b:Tag>
    <b:SourceType>InternetSite</b:SourceType>
    <b:Guid>{651C02AF-DF1C-478D-9A13-F16500795A3C}</b:Guid>
    <b:Author>
      <b:Author>
        <b:NameList>
          <b:Person>
            <b:Last>Gautam</b:Last>
            <b:First>Yubaraj</b:First>
          </b:Person>
        </b:NameList>
      </b:Author>
    </b:Author>
    <b:InternetSiteTitle>Clickmandu.com</b:InternetSiteTitle>
    <b:YearAccessed>2017</b:YearAccessed>
    <b:MonthAccessed>07</b:MonthAccessed>
    <b:DayAccessed>16</b:DayAccessed>
    <b:URL>http://www.clickmandu.com/2016/10/1056.html</b:URL>
    <b:Title>Deshvarka Telecenter Bekame</b:Title>
    <b:RefOrder>6</b:RefOrder>
  </b:Source>
  <b:Source>
    <b:Tag>Sag15</b:Tag>
    <b:SourceType>Misc</b:SourceType>
    <b:Guid>{D04FE5BE-3011-4687-9594-A1AF23CE8F06}</b:Guid>
    <b:Title>Bogor ICT Volunteers School Programme</b:Title>
    <b:Year>2015</b:Year>
    <b:Author>
      <b:Author>
        <b:NameList>
          <b:Person>
            <b:Last>Sagena</b:Last>
            <b:First>Unggul</b:First>
          </b:Person>
        </b:NameList>
      </b:Author>
    </b:Author>
    <b:RefOrder>3</b:RefOrder>
  </b:Source>
  <b:Source>
    <b:Tag>Ann15</b:Tag>
    <b:SourceType>Report</b:SourceType>
    <b:Guid>{5501F2D9-C472-482B-B9D5-4E81ADF64567}</b:Guid>
    <b:Title>Annual Household Survey Report</b:Title>
    <b:Year>2014/15</b:Year>
    <b:Publisher>Central Bureau of Statistics</b:Publisher>
    <b:Author>
      <b:Author>
        <b:NameList>
          <b:Person>
            <b:Last>CBS</b:Last>
          </b:Person>
        </b:NameList>
      </b:Author>
    </b:Author>
    <b:RefOrder>1</b:RefOrder>
  </b:Source>
</b:Sources>
</file>

<file path=customXml/itemProps1.xml><?xml version="1.0" encoding="utf-8"?>
<ds:datastoreItem xmlns:ds="http://schemas.openxmlformats.org/officeDocument/2006/customXml" ds:itemID="{137BE013-2999-7A4A-831B-13F1C91F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 Chautari</dc:creator>
  <cp:lastModifiedBy>Laleema Senanayake</cp:lastModifiedBy>
  <cp:revision>2</cp:revision>
  <dcterms:created xsi:type="dcterms:W3CDTF">2017-07-17T05:34:00Z</dcterms:created>
  <dcterms:modified xsi:type="dcterms:W3CDTF">2017-07-17T05:34:00Z</dcterms:modified>
</cp:coreProperties>
</file>